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ZI09.037000 vom 26. Juni 2014</w:t>
      </w:r>
    </w:p>
    <w:p>
      <w:r>
        <w:t>VD Tribunal cantonal, 2014-06-26, FR</w:t>
      </w:r>
    </w:p>
    <w:p>
      <w:r>
        <w:rPr>
          <w:b/>
        </w:rPr>
        <w:t xml:space="preserve">Quelle: </w:t>
      </w:r>
      <w:r>
        <w:t>https://mcp.opencaselaw.ch/entscheid/vd_gerichte_ZI09.037000</w:t>
      </w:r>
    </w:p>
    <w:p>
      <w:r>
        <w:t>FR: VD_GERICHTE ZI09.037000 du 26 juin 2014</w:t>
      </w:r>
    </w:p>
    <w:p>
      <w:r>
        <w:t>IT: VD_GERICHTE ZI09.037000 del 26 giugno 2014</w:t>
      </w:r>
    </w:p>
    <w:p>
      <w:pPr>
        <w:pStyle w:val="Heading2"/>
      </w:pPr>
      <w:r>
        <w:t>Erwägungen</w:t>
      </w:r>
    </w:p>
    <w:p>
      <w:r>
        <w:rPr>
          <w:b/>
        </w:rPr>
        <w:t>E. 50</w:t>
      </w:r>
    </w:p>
    <w:p>
      <w:r>
        <w:t>% dans l’activité habituelle, laquelle était parfaitement adaptée. En l’occurrence, il n’y a pas lieu de s’écarter des conclusions médicales retenues par le docteur M.________, lesquelles reposent sur une analyse complète et détaillée de la situation de la demanderesse sur le plan orthopédique. Sur le vu des rapports établis par les Drs V.________ et P.________, il n’est par ailleurs pas possible de retenir l’existence d’une affection d’origine psychique qui viendrait diminuer, en sus des affections somatiques, la capacité de travail de la demanderesse. Ces médecins – en particulier la Dresse P.________ – ne rapportent aucune description clinique précise qui justifierait de retenir l’existence d’une affection relevant de la sphère anxio-dépressive, la mention (par le Dr V.________) d’une fatigue, de troubles du sommeil ou de difficultés de concentration n’étant pas suffisante, en l’absence d’explications plus concrètes, pour justifier l’existence d’une incapacité de travail. Dans ces conditions, il convient de constater que la situation médicale de la demanderesse n’a, objectivement, pas évolué par rapport à celle prévalant au moment de l’octroi des prestations de la défenderesse, celle-ci étant toujours caractérisée par l’existence de troubles somatiques qui réduisent sa capacité de travail de moitié. c) Sur le vu de ce qui précède, la demanderesse ne saurait prétendre à des prestations supplémentaires à celles qui lui sont actuellement allouées par la défenderesse pour la période courant depuis le mois de décembre 2007. 9. Dans une argumentation complémentaire qu'il appartient à la Cour de céans d'examiner également (ATF 136 V 73 consid. 5.3), la demanderesse remet en cause les conditions dans lesquelles la défenderesse lui aurait octroyé en 2004 un versement anticipé dans le cadre de l’encouragement à la propriété du logement, ainsi que la manière dont elle aurait été informée des conséquences d’un tel versement.</w:t>
      </w:r>
    </w:p>
    <w:p>
      <w:r>
        <w:t>- 24 - a) Contrairement à ce que soutient la demanderesse, l’octroi d’un versement anticipé n’est exclu que lorsqu’un assuré a été reconnu entièrement invalide au sens de la prévoyance professionnelle (ATF 130 V 191). Par contre, les bénéficiaires d'une rente partielle d'invalidité peuvent demander à leur institution le versement anticipé de leur avoir de prévoyance correspondant à leur capacité (partielle) de travail (Bulletin de la prévoyance professionnelle n° 32 du 21 avril 1995, p. 6). Dans ces conditions, la demanderesse était en droit, malgré l’octroi par la défenderesse de prestations d’invalidité de la prévoyance professionnelle, de demander un versement anticipé. C’est donc de façon conforme au droit que la défenderesse a accédé à cette demande. b) S’agissant d’une éventuelle violation du devoir d’information de la part de la Caisse W.________, il convient de rappeler que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w:t>
      </w:r>
    </w:p>
    <w:p>
      <w:r>
        <w:t>- 25 - devant toutefois être formulée de la façon suivante : que l'administré n'ait pas eu connaissance du contenu du renseignement omis ou que ce contenu était tellement évident qu'il n'avait pas à s'attendre à une autre information (ATF 131 V 472 consid. 5 p. 480). Il ressort en l’espèce du dossier que la demanderesse a été clairement informée par la remise, d'une part, d’un comparatif avant/après versement, et, d'autre part, d'un "résumé des dispositions concernant l'encouragement à la propriété du logement au moyen de la prévoyance professionnelle" des conséquences qu’un versement anticipé au titre de l’encouragement à la propriété du logement entraînerait sur le montant de ses prestations (cf. courrier du 19 novembre 2003). En revanche, la défenderesse n'est pas parvenue à démontrer qu'elle aurait proposé à la demanderesse la conclusion d’une assurance complémentaire afin de combler la lacune de prévoyance qu’a créée le versement anticipé (art. 30c al. 4 LPP et 11 OEPL [ordonnance du 3 octobre 1994 sur l’encouragement à la propriété du logement au moyen de la prévoyance professionnelle, RS 831.411]). Toutefois, la demanderesse ne prétend pas qu'elle aurait effectivement conclu une assurance complémentaire si elle avait reçu l'information manquante ; elle relève au contraire dans ses écritures qu'elle n'aurait jamais consenti audit versement si elle avait été correctement informée. Or, comme on l'a vu, la demanderesse a été informée de manière correcte des conséquences d'un versement anticipé. On ajoutera pour le surplus que la demanderesse n'allègue nullement être disposée à rembourser à la défenderesse le versement anticipé de 217'000 fr. dont elle a bénéficié et que, partant, l'on peut se demander si le fait de se prévaloir d'un éventuel vice de forme plus de sept ans après les faits litigieux, voire de n’évoquer ce vice que par mémoire du 3 novembre 2011 lors de la procédure judiciaire, alors même que la demanderesse était représentée par un avocat bien avant cette date, ne constitue pas un abus de droit. Compte tenu de l'ensemble de ces éléments, il n'y a pas lieu de revenir sur le versement anticipé opéré en 2004 par la défenderesse.</w:t>
      </w:r>
    </w:p>
    <w:p>
      <w:r>
        <w:t>- 26 - 10. a) La demande formée par G.________ contre la Caisse W.________ doit par conséquent être rejetée, ce qui entraîne également le rejet de ses réquisitions tendant au calcul de l’augmentation de son droit à la rente, que ce soit par expertise ou par interpellation de l’intimée. b) La procédure étant gratuite (art. 73 al. 2 LPP), il ne sera pas perçu de frais de justice. c) Bien que la Caisse W.________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