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ZI08.036998 vom 19. Mai 2010</w:t>
      </w:r>
    </w:p>
    <w:p>
      <w:r>
        <w:t>VD Tribunal cantonal, 2010-05-19, FR</w:t>
      </w:r>
    </w:p>
    <w:p>
      <w:r>
        <w:rPr>
          <w:b/>
        </w:rPr>
        <w:t xml:space="preserve">Quelle: </w:t>
      </w:r>
      <w:r>
        <w:t>https://mcp.opencaselaw.ch/entscheid/vd_gerichte_ZI08.036998</w:t>
      </w:r>
    </w:p>
    <w:p>
      <w:r>
        <w:t>FR: VD_GERICHTE ZI08.036998 du 19 mai 2010</w:t>
      </w:r>
    </w:p>
    <w:p>
      <w:r>
        <w:t>IT: VD_GERICHTE ZI08.036998 del 19 maggio 2010</w:t>
      </w:r>
    </w:p>
    <w:p>
      <w:pPr>
        <w:pStyle w:val="Heading2"/>
      </w:pPr>
      <w:r>
        <w:t>Erwägungen</w:t>
      </w:r>
    </w:p>
    <w:p>
      <w:r>
        <w:rPr>
          <w:b/>
        </w:rPr>
        <w:t>E. 1</w:t>
      </w:r>
    </w:p>
    <w:p>
      <w:r>
        <w:t>a) Chaque canton désigne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w:t>
      </w:r>
    </w:p>
    <w:p>
      <w:r>
        <w:t>- 7 - 28 octobre 2008 sur la procédure administrative, RSV 173.36]),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b) En l'espèce, l'action du demandeur, formée devant le tribunal compétent à raison du lieu de l'exploitation dans laquelle l'assuré a été engagé (cf. lettre A.a supra), ce que la défenderesse ne conteste pas, est recevable à la forme. Il y a lieu d'entrer en matière. La valeur litigieuse étant inférieure à 30'000 fr., la cause est de la compétence du juge instructeur statuant en tant que juge unique (cf. art. 94 al. 1 let. a et 109 al. 1 LPA-VD).</w:t>
      </w:r>
    </w:p>
    <w:p>
      <w:r>
        <w:rPr>
          <w:b/>
        </w:rPr>
        <w:t>E. 2</w:t>
      </w:r>
    </w:p>
    <w:p>
      <w:r>
        <w:t>a) Aux termes de l'art. 41 al. 2 LPP, dans sa teneur en vigueur depuis le 1er janvier 2005 (correspondant à l'art. 41 al. 1 aLPP, dans sa version en vigueur jusqu'au 31 décembre 2004; cf. ATF 133 V 579 consid. 4.3.1), les actions en recouvrement de créances se prescrivent par cinq ans quand elles portent sur des cotisations ou des prestations périodiques, par dix ans dans les autres cas; les art. 129 à 142 CO (code des obligations, RS 220) sont applicables. Selon la jurisprudence rendue sous l'empire de l'art. 41 aLPP, la solution consacrée par cette disposition, qui s'inspire directement des art. 127 et 128 CO (lesquels sont applicables à la prévoyance plus étendue)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124 III 449 consid. 3b; 117 V 329 consid. 4; 111 II 501 consid. 2; TF B 15/06 du 15 novembre 2007, consid. 5.1 et les références citées; TFA B 9/99 du 4 août 2000, résumé dans RSAS</w:t>
      </w:r>
    </w:p>
    <w:p>
      <w:r>
        <w:t>- 8 - 2003 p. 48 et SJ 2001 II p. 214). L'exigibilité d'une prestation de la prévoyance professionnelle se situe lors de la naissance du droit à ladite prestation selon les dispositions légales et réglementaires qui lui sont applicables (ATF 132 V 159 consid. 3; 126 V 258 consid. 3a; 117 V 303 consid. 2c). b) Selon le chiffre 3.3.1 al. 3 du règlement de la défenderesse, les prestations obligatoires de la caisse débutent avec celles de l’AI. Or par jugement du 15 novembre 2007, entré en force et qui a été exécuté par décisions de l'OAI du 17 juin 2008, le Tribunal des assurances du canton de Vaud a fixé au 1er février 2002 le début du droit du demandeur à une rente d’invalidité entière de l'AI. L'exigibilité de la rente LPP se situe dès lors également au 1er février 2002, et chacun des arrérages dus depuis cette date se prescrit par cinq ans dès son exigibilité, conformément à l'art. 41 LPP (voir TF B 15/06 du 15 novembre 2007, qui concernait un état de fait similaire à la présente espèce). Il s'ensuit que, interpellée par le demandeur le 27 mai 2008, la défenderesse pouvait en principe, comme elle l'a fait par courrier du 16 juin 2008, invoquer la prescription quinquennale pour la période antérieure au 1er juillet 2003. Cela étant, il y a lieu d'examiner, au vu des arguments soulevés par le demandeur, si l'invocation de la prescription constitue un abus de droit de la part de la demanderesse (cf. consid. 3 infra) et si le délai de prescription a été interrompu (cf. consid. 4 infra) ou suspendu (cf. consid. 5 infra).</w:t>
      </w:r>
    </w:p>
    <w:p>
      <w:r>
        <w:rPr>
          <w:b/>
        </w:rPr>
        <w:t>E. 3</w:t>
      </w:r>
    </w:p>
    <w:p>
      <w:r>
        <w:t>a) Le demandeur soutient d'abord que par la lettre que son conseil a adressée le 9 octobre 2003, il a en quelque sorte demandé à la défenderesse de reporter le moment de l'exigibilité de ses créances jusqu’à droit connu s’agissant de sa demande de prestations au titre du premier pilier. Du fait que la défenderesse n’a pas réagi négativement à sa lettre, il était en droit de penser, en toute bonne foi, qu’il pourrait faire valoir ultérieurement ses droits sans qu’aucune exception de prescription ne soit soulevée à son encontre. Par son absence de réaction négative au courrier du 9 octobre 2003, la défenderesse aurait ainsi amené le demandeur à ne pas accomplir en temps utile un acte interruptif de</w:t>
      </w:r>
    </w:p>
    <w:p>
      <w:r>
        <w:t>- 9 - prescription, de sorte qu'elle commettrait un abus de droit en invoquant la prescription. b) Selon la jurisprudence, le débiteur commet un abus de droit (art. 2 al. 2 CC [code civil, RS 210]), en se prévalant de la prescription, non seulement lorsqu'il amène astucieusement le créancier à ne pas agir en temps utile, mais également lorsque, sans mauvaise intention, il a un comportement qui incite le créancier à renoncer à entreprendre des démarches juridiques pendant le délai de prescription et que, selon une appréciation raisonnable, fondée sur des critères objectifs, ce retard apparaît compréhensible; pour admettre un abus de droit, il faut que le comportement du débiteur soit en relation de causalité avec le retard à agir du créancier (ATF 131 III 430 consid. 2; 128 V 236 consid. 4a; 113 II 264 consid. 2e; 108 II 278 consid. 5b p. 287; 89 II 256 consid. 4; TF 4C.296/2003 du 12 mai 2004, reproduit in SJ 2004 I 589, consid. 3.6). c) En l'espèce, le seul fait que la défenderesse n'a pas réagi au courrier du conseil du demandeur du 9 octobre 2003 (cf. lettre A.d supra), qui était purement informatif et n'appelait pas de réponse, ne permet à l'évidence pas de retenir que la défenderesse aurait eu un comportement incitant le créancier à renoncer à entreprendre des démarches juridiques pendant le délai de prescription, dont le point de départ dépendait exclusivement de la date à partir de laquelle serait éventuellement reconnu, dans le cadre de la procédure d'opposition ou dans le cadre de la procédure de recours contre une décision sur opposition, le droit à une rente d'invalidité fondée sur un degré d'invalidité de 50% au moins. La défenderesse ne commet donc pas d'abus de droit en se prévalant de la prescription.</w:t>
      </w:r>
    </w:p>
    <w:p>
      <w:r>
        <w:rPr>
          <w:b/>
        </w:rPr>
        <w:t>E. 4</w:t>
      </w:r>
    </w:p>
    <w:p>
      <w:r>
        <w:t>a) Le demandeur soutient ensuite qu'il aurait valablement interrompu le délai de prescription par son opposition auprès de l'OAI et son courrier du 9 octobre 2003 à la défenderesse (cf. lettre A.d supra). Rappelant que le droit public admet de façon plus large que le droit privé des actes interruptifs du créancier, en ce sens que le délai de prescription est interrompu par tout acte par lequel le créancier fait valoir sa</w:t>
      </w:r>
    </w:p>
    <w:p>
      <w:r>
        <w:t>- 10 - prétention de manière appropriée à l'égard du débiteur, le demandeur soutient qu'en l'occurrence, il a fait valoir sa prétention de manière appropriée à l'égard de la défenderesse. En effet, dès lors qu'en matière de deuxième pilier, l'assuré ne peut faire valoir ses droits à l’égard de sa caisse de pension que dans la mesure où son cas a été définitivement tranché par l'OAI, il est absurde d’exiger d’un assuré qu’il ouvre une action pour faire valoir ses prétentions en matière de prévoyance professionnelle tant que la procédure au niveau de l'assurance-invalidité n’est pas terminée. En l'occurrence, par l'introduction d’une procédure d’opposition à la décision de l'OAI et par l’envoi d’une lettre d’information à ce sujet à la défenderesse, le demandeur aurait entrepris toutes les démarches qu’on pouvait exiger de lui pour sauvegarder ses droits et aurait ainsi interrompu la prescription de ses créances à l'encontre de la défenderesse. b) Comme l'a rappelé le Tribunal fédéral, le droit public admet de façon plus large que le droit privé des actes interruptifs du créancier, en ce sens que le délai de prescription est interrompu – outre par les moyens mentionnés par l'art. 135 CO – par tout acte par lequel celui-ci fait valoir sa prétention de manière appropriée à l'égard du débiteur (ATF 133 V 579 consid. 4.3.1 et les références citées; TFA B 55/05 du 16 octobre 2006, consid. 4.2.3, reproduit in SVR 2007 BVG n° 18 p. 61, consid. 4.2.3). Cette jurisprudence est applicable notamment en matière d'assurances sociales (ATF 133 V 579 consid. 4.3.1 et les références citées). Toutefois, en matière de prévoyance professionnelle, l'art. 41 LPP, relatif à la prescription des actions en recouvrement de créances de cotisations ou de prestations périodiques, renvoie explicitement aux art. 129 et 142 CO (cf. consid. 2a supra). Cette réglementation est impérative et s'applique à toutes les créances fondées sur la LPP; en raison de ce renvoi pur et simple aux dispositions du CO et dès lors que l'énumération contenue à l'art. 135 ch. 2 CO est exhaustive, il n'y a pas de place pour une réglementation plus large en matière d'interruption de la prescription (ATF 133 V 579 consid. 4.3.1 in fine; 132 V 404 consid. 5.2; TF B 15/06 du 15 novembre 2007, consid. 5.2; TF B 44/06 du 26 février 2007, consid. 6.2;</w:t>
      </w:r>
    </w:p>
    <w:p>
      <w:r>
        <w:t>- 11 - TF B 114/06 du 11 mai 2007, consid. 3.2.1; TFA B 55/05 du 16 octobre 2006, consid. 4.2.3, reproduit in SVR 2007 BVG n° 18 p. 61). c) Il est incontesté que le courrier du 9 octobre 2003 du demandeur à la défenderesse ne correspond pas à l'un des moyens prévus par l'art. 135 ch. 2 CO permettant au créancier d'interrompre la prescription, à savoir des poursuites, une action ou une exception devant un tribunal ou des arbitres, une intervention dans une faillite ou une citation en conciliation. Dès lors, le courrier du 9 octobre 2003 n’a pas interrompu le délai de prescription.</w:t>
      </w:r>
    </w:p>
    <w:p>
      <w:r>
        <w:rPr>
          <w:b/>
        </w:rPr>
        <w:t>E. 5</w:t>
      </w:r>
    </w:p>
    <w:p>
      <w:r>
        <w:t>a) Le demandeur invoque enfin l'art. 134 al. 1 ch. 6 CO, qui prévoit la suspension de la prescription lorsque le créancier est dans l'impossibilité d'agir devant un tribunal suisse. Selon lui, il conviendrait en l'espèce d’étendre la portée du principe rendu par l'adage «contra non valentem agere non currit praescriptio», qui veut que la prescription soit suspendue lorsque le créancier est entravé, pour quelque raison que ce soit, dans la poursuite de son droit. En effet, même s'il avait la possibilité abstraite de se créer un for en Suisse et d’actionner la défenderesse, on ne pouvait raisonnablement exiger de lui qu'il fasse usage de cette possibilité tant que la procédure au niveau du premier pilier n’était pas terminée. Or près de six ans se sont écoulés entre le moment du dépôt de sa demande de rente et la décision sur opposition de l'OAI, et la procédure devant le Tribunal des assurances a quant à elle duré plus de trois ans. Le demandeur aurait donc été empêché par des circonstances objectives d’intenter une action à l’encontre de la défenderesse, et l'on devrait ainsi considérer que la prescription a été valablement suspendue tant qu’a duré la procédure au niveau du premier pilier. b) Aux termes de l'art. 134 al. 1 ch. 6 CO, la prescription ne court point et, si elle avait commencé à courir, elle est suspendue tant qu’il est impossible de faire valoir la créance devant un tribunal suisse. Selon la jurisprudence, cette disposition ne s'applique que si le créancier est empêché d'intenter une action en Suisse par des circonstances objectives, qui ne tiennent pas à lui, soit notamment lorsqu'il n'y a pas de</w:t>
      </w:r>
    </w:p>
    <w:p>
      <w:r>
        <w:t>- 12 - for en Suisse (ATF 124 III 449 consid. 4a; 90 II 428 consid. 6 à 9; cf. ATF 88 II 283 consid. 3a). Par son interprétation restrictive de la disposition précitée, le Tribunal fédéral a ainsi fortement relativisé la portée du principe rendu par l'adage «contra non valentem agere non currit praescriptio», qui veut que la prescription soit suspendue lorsque le créancier est entravé, pour quelque raison que ce soit, dans la poursuite de son droit (ATF 124 III 449 consid. 4a). c) En l'espèce, il n'apparaît pas que le demandeur ait été empêché d'intenter une action en Suisse par des circonstances objectives au sens de la jurisprudence précitée. Rien ne l'empêchait d'ouvrir action contre la défenderesse auprès du tribunal des assurances compétent (art. 73 al. 1 LPP) et de demander en même temps la suspension de cette procédure jusqu’à droit connu sur la rente d’invalidité Al. Au demeurant, comme le relève à juste titre la défenderesse, le demandeur, s'il n'entendait pas agir contre la défenderesse avant de connaître l'issue de la contestation relative à la rente d'invalidité AI, aurait pu requérir de la défenderesse qu'elle signe une déclaration de renonciation à la prescription, comme cela se fait dans la pratique pour éviter la prescription si les circonstances ne permettent pas encore l’introduction d’une action en justice.</w:t>
      </w:r>
    </w:p>
    <w:p>
      <w:r>
        <w:rPr>
          <w:b/>
        </w:rPr>
        <w:t>E. 6</w:t>
      </w:r>
    </w:p>
    <w:p>
      <w:r>
        <w:t>a) En définitive, l'exigibilité de la créance du demandeur en versement de rentes se situe au 1er février 2002 et chacun des arrérages dus depuis cette date se prescrit par cinq ans dès son exigibilité, conformément à l'art. 41 LPP (cf. consid. 2 supra). En conséquence, la défenderesse était fondée à se prévaloir, comme elle l'a fait par courrier du 16 juin 2008, de la prescription quinquennale pour les rentes échues antérieurement au 1er juillet 2003, dès lors qu'elle ne commet ce faisant aucun abus de droit (cf. consid. 3 supra), que le courrier adressé le 9 octobre 2003 par le demandeur à la défenderesse n'a pas interrompu la prescription (cf. consid. 4 supra) et que les conditions d'une suspension de la prescription selon l'art. 134 al. 1 ch. 6 CO n'étaient pas réalisées (cf. consid. 5 supra).</w:t>
      </w:r>
    </w:p>
    <w:p>
      <w:r>
        <w:t>- 13 - b) Dans ces conditions, il importe peu de savoir quelle est la portée de la signature apposée le 18 septembre 2008 sur le double du courrier du 24 juillet 2008 qu'il a renvoyé à la défenderesse (cf. lettres A.g, B.c et B.d supra), puisque la défenderesse peut de toute manière se prévaloir de la prescription pour la période antérieure au 1er juillet 2003, indépendamment d'une éventuelle reconnaissance de cette prescription par le demandeur.</w:t>
      </w:r>
    </w:p>
    <w:p>
      <w:r>
        <w:rPr>
          <w:b/>
        </w:rPr>
        <w:t>E. 7</w:t>
      </w:r>
    </w:p>
    <w:p>
      <w:r>
        <w:t>a) Il résulte de ce qui précède que les conclusions prises par le demandeur dans sa demande du 9 décembre 2008 doivent être rejetées. b) La procédure étant gratuite (art. 73 al. 2 LPP), il ne sera pas perçu de frais de justice. c) Quoique la défenderesse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Soziale Sicherheit, 2e éd. 2007, n. 209 p. 2076), ce qui n'est pas le cas en l'espèce. Par ces motifs, le juge unique p r o n o n c e : I. La demande formée le 9 décembre 2008 par M.________ contre la Fondation de prévoyance A.________ est rejetée. II. Il n'est pas perçu de frais de justice ni alloué de dépens.</w:t>
      </w:r>
    </w:p>
    <w:p>
      <w:r>
        <w:t>- 14 - Le juge unique : Le greffier : Du Le jugement qui précède est notifié à : - Service juridique de la Fédération suisse pour l'intégration des handicapés (pour M.________), - Me Armin Sahli (pour la Fondation de prévoyance A.________),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