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ZI07.036061 vom 12. Juni 2009</w:t>
      </w:r>
    </w:p>
    <w:p>
      <w:r>
        <w:t>VD Tribunal cantonal, 2009-06-12, FR</w:t>
      </w:r>
    </w:p>
    <w:p>
      <w:r>
        <w:rPr>
          <w:b/>
        </w:rPr>
        <w:t xml:space="preserve">Quelle: </w:t>
      </w:r>
      <w:r>
        <w:t>https://mcp.opencaselaw.ch/entscheid/vd_gerichte_ZI07.036061</w:t>
      </w:r>
    </w:p>
    <w:p>
      <w:r>
        <w:t>FR: VD_GERICHTE ZI07.036061 du 12 juin 2009</w:t>
      </w:r>
    </w:p>
    <w:p>
      <w:r>
        <w:t>IT: VD_GERICHTE ZI07.036061 del 12 giugno 2009</w:t>
      </w:r>
    </w:p>
    <w:p>
      <w:pPr>
        <w:pStyle w:val="Heading2"/>
      </w:pPr>
      <w:r>
        <w:t>Erwägungen</w:t>
      </w:r>
    </w:p>
    <w:p>
      <w:r>
        <w:rPr>
          <w:b/>
        </w:rPr>
        <w:t>E. 3</w:t>
      </w:r>
    </w:p>
    <w:p>
      <w:r>
        <w:t>a) Selon l'art. 23 let. a LPP, ont droit à des prestations d’invalidité les personnes qui sont invalides à raison de 40% au moins au sens de l’AI, et qui étaient assurées lorsqu'est survenue l’incapacité de travail dont la cause est à l’origine de l’invalidité. A teneur de l'art. 26 al. 1 LPP, les dispositions de la LAI (loi fédérale du 19 juin 1959 sur l'assurance-invalidité, RS 831.20) s'appliquent par analogie à la naissance du droit aux prestations d'invalidité (cf. art. 29 LAI). b)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(Beros, Die Stellung des Arbeitnehmers im BVG : Obligatorium und freiwillige berufliche Vorsorge, thèse Zurich 1993, pp. 56ss, qui en donne une liste, et pp. 62ss ; Riemer, Das Recht der beruflichen Vorsorge in der Schweiz, Berne 1985, p. 99 n. 8). En matière de prévoyance plus étendue au sens de l'art. 49 al. 2 LPP, par contre, les droits et obligations des assurés sont régis principalement par les statuts et règlements des institutions de prévoyance (cf. aussi Beros, op. cit., pp. 71 ss).</w:t>
      </w:r>
    </w:p>
    <w:p>
      <w:r>
        <w:rPr>
          <w:b/>
        </w:rPr>
        <w:t>E. 4</w:t>
      </w:r>
    </w:p>
    <w:p>
      <w:r>
        <w:t>a) Selon l'art. 24 OPP 2 (ordonnance sur la prévoyance professionnelle vieillesse, survivants et invalidité, RS 831.441.1), édicté par le Conseil fédéral en vertu de la délégation de compétence de l'art. 34a al. 1 LPP, l’institution de prévoyance peut réduire les prestations d’invalidité et de survivants dans la mesure où, ajoutées à d’autres revenus à prendre en compte, elles dépassent 90% du gain annuel dont on peut présumer que l’intéressé est privé (al. 1). Sont considérées</w:t>
      </w:r>
    </w:p>
    <w:p>
      <w:r>
        <w:t>- 13 -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L’institution de prévoyance peut en tout temps réexaminer les conditions et l’étendue d’une réduction et adapter ses prestations si la situation se modifie de façon importante (al. 5). b) La réglementation ainsi décrite ne vaut toutefois que pour les prestations de la prévoyance professionnelle obligatoire, auxquelles s'applique la LPP ; pour ce qui est de la prévoyance plus étendue, les institutions de prévoyance restent en effet libres de régler différemment la coordination avec d'autres assurances sociales (art. 49 al. 2 LPP ; cf. ATF 122 V 151 consid. 3d et les références citées ; TF 9C_711/2007 du 19 décembre 2008, consid. 3.3), pour autant qu'elles respectent certains principes, notamment celui de la concordance des droits, qui a une portée générale (ATF 135 V 33 consid. 5.1). En l'espèce, ce principe ne porte toutefois pas à discussion, dès lors que sont en concours des prestations de même nature (rentes de l'assurance-invalidité fédérale et pensions d'invalidité d'une institution de prévoyance).</w:t>
      </w:r>
    </w:p>
    <w:p>
      <w:r>
        <w:rPr>
          <w:b/>
        </w:rPr>
        <w:t>E. 5</w:t>
      </w:r>
    </w:p>
    <w:p>
      <w:r>
        <w:t>a) L'art. 27 al. 1 du règlement de 2005 prévoit la réduction des prestations pour cause de surindemnisation dès que les prestations à prendre en compte « produisent un revenu supérieur à 90% du dernier salaire annuel » au sens de l'art. 2 du règlement, à savoir le salaire total soumis à l'AVS « augmenté des compensations de salaire non soumises à l'AVS, versées par des tiers l'année précédente » (al. 2). En outre, ne sont pas prises en compte pour le calcul du salaire annuel les compensations et parts de salaire occasionnelles, soit notamment les allocations</w:t>
      </w:r>
    </w:p>
    <w:p>
      <w:r>
        <w:t>- 14 - temporaires et rémunératoires accessoires (allocations pour enfants et allocations familiales) (al. 6). Enfin, le règlement ne fait aucune mention d'une indexation du salaire de référence. Le règlement de 2004 retenait la même notion, soit « 90% du dernier salaire complet de l'assuré », mais sans renvoi explicite à l'art. 2 définissant la notion de salaire annuel, pour ce qui est de la surindemnisation (cf. art. 17 al. 3, in initio). Pour sa part, le règlement de 1996 se référait aussi au salaire AVS (art. 6 al. 2), mais sans effet en matière de surindemnisation, puisque l'art. 9 al. 2 dudit règlement fixait la limite supérieure de l'ensemble des revenus à « 90% de la perte de gain présumée », ce qui renvoie sans autre à la norme topique de l'OPP 2 précitée. Le règlement de 2004 ne comporte aucune disposition expresse quant aux droits acquis. Le règlement de 2005 prévoit, à son art. 46 al. 2, que « les droits acquis des assurés et des bénéficiaires de rentes restent préservés dans tous les cas ». b) Par « gain annuel dont on peut présumer que l'intéressé est privé » – lorsque se pose pour la première fois la question de la surindemnisation –, la jurisprudence a précisé qu'il faut entendre le salaire hypothétique que l'assuré réaliserait sans invalidité. Partant, sa détermination laisse, tant à l'institution de prévoyance qu'à l'autorité judiciaire amenées à se prononcer, une certaine marge d'appréciation (« gewisser Ermessensspielraum » ; cf. ATF 123 V 88 consid. 3b in fine ; TF 9C_347/2008 du 21 octobre 2008, consid. 4.1). Ce salaire présumé ne correspond pas forcément au gain effectivement obtenu avant la survenance de l'éventualité assurée (ATF 128 V 243 ; ATF 125 V 163 consid. 3b ; ATF 123 V 204 consid. 5b et les références). Pour définir cette notion, la jurisprudence s'est notamment référée aux anciens art. 45 LAI et 39bis RAI (règlement sur l'assurance-invalidité, RS 831.201), qui traitaient du calcul de la surindemnisation en cas de concours des prestations de l'assurance-invalidité avec celles d'autres assurances sociales et qui,</w:t>
      </w:r>
    </w:p>
    <w:p>
      <w:r>
        <w:t>- 15 - fixant la limite de la surindemnisation au montant du gain annuel présumé perdu, définissaient celui-ci comme le revenu annuel du travail que l'assuré aurait pu obtenir s'il n'était pas devenu invalide (ATF 122 V 151 consid. 3c). En ce sens, il existe une étroite relation entre le gain annuel dont on peut présumer que l'intéressé est privé et le revenu sans invalidité déterminant pour l'évaluation de l'invalidité (TFA B 71/04 du 19 novembre 2004 ; TFA B 98/03 du 22 mars 2004, consid. 4.2 ; cf. également Kieser, ATSG - Kommentar, 2ème éd., Zurich/Bâle/Genève 2009, n. 16 ad art. 69). En cas de modification du revenu hypothétique après la fixation de la rente, l'autorité de prévoyance doit procéder à un nouveau calcul (ATF 125 V 163 ; ATF 122 V 151). c) S'agissant, comme en l'espèce, de rapports de droit qui relèvent de la prévoyance professionnelle plus étendue et qui lient un affilié à une institution de prévoyance de droit privé, les employés assurés sont liés à l'institution par un contrat innommé (sui generis), dit de prévoyance. Le règlement de prévoyance est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surtout pour les conventions contractuelles particulières (ATF 129 V 147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en tenant compte du mode d'interprétation des conditions générales, en particulier de la règle de la clause peu claire et de la règle dite de l'inhabituel ou de l'insolite (ATF 131 V 27 consid. 2.2).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w:t>
      </w:r>
    </w:p>
    <w:p>
      <w:r>
        <w:t>- 16 - l'examiner dans son contexte ; dans ce dernier cas, toutes les circonstances ayant précédé ou accompagné sa conclusion doivent être prises en considération. En cas d'interprétations multiples, il y a lieu, dans le doute, de trancher en défaveur de l'auteur du contrat (ATF 132 V 286 consid. 3.2.1 ; TF 9C_91/2007 du 25 avril 2008, consid. 4). L'arrêt publié aux ATF 132 V 278 complète la prohibition de l'arbitraire sous l'angle du droit constitutionnel dans la prévoyance obligatoire et l'étend à la prévoyance plus étendue (spéc. consid. 4.7).</w:t>
      </w:r>
    </w:p>
    <w:p>
      <w:r>
        <w:rPr>
          <w:b/>
        </w:rPr>
        <w:t>E. 6</w:t>
      </w:r>
    </w:p>
    <w:p>
      <w:r>
        <w:t>En l'espèce, la défenderesse est une institution de prévoyance de droit privé pratiquant la prévoyance obligatoire et plus étendue (institution dite « enveloppante » ; ATF 128 V 247 consid. 3a ; ATF 117 V 45 consid. 3b). Les prestations réglementaires vont donc au-delà des prestations minimales selon la LPP. Il est incontesté que le demandeur a droit à une rente excédant les minima légaux. Cette prestation a, initialement, soit dès le 1er avril 1999, été fixée en application du règlement de 1996, jusqu'à s'élever à 40’438 fr. en 2005, y compris les deux rentes pour enfants. Le montant de la rente a alors été réduit à 33’317 fr. dès le 1er janvier 2006, sur la base de la limite réglementaire de 90% ressortant du règlement de 2005, appliquée à un salaire de 97’219 fr. 05, par 87’497 fr., sans indexation ni prise en compte d’éventuelles allocations familiales. Pour l'année 2005, le montant des rentes (principale et accessoires) de l'AI, incontesté, est de 54'180 francs. La question déterminante est dès lors celle du gain annuel à prendre en considération pour le calcul de surindemnisation depuis l'année 2006. La défenderesse considère que les institutions de prévoyance professionnelle sont habilitées, en prévoyance plus étendue, à prévoir une réglementation plus restrictive que celle découlant impérativement de la législation dans la prévoyance obligatoire. La question de savoir si la réduction procède du nouveau règlement ou de l'interprétation de la notion de gain annuel dont on peut</w:t>
      </w:r>
    </w:p>
    <w:p>
      <w:r>
        <w:t>- 17 - présumer que l’intéressé est privé au sens de l'art. 24 al. 1 OPP 2 faite par la défenderesse n'importe nullement pour ce qui est de la prévoyance obligatoire, qui n'est cependant pas en cause. Pour ce qui est, en revanche, de la prévoyance dite plus étendue, l'institution de prévoyance est libre de définir la surindemnisation – notamment le gain de référence – dans ses dispositions internes, comme relevé précédemment, vu le silence de l'art. 49 LPP à cet égard. Le changement apporté, dès le 1er janvier 2005, par le nouveau règlement est la référence, par son art. 27 al. 1, au 90% « du dernier salaire annuel ». Le retour au salaire initial, donc de 1996, sans indexation, en procède. En conséquence, il s'agit de déterminer si la réduction des prestations en cause est justifiée au regard des dispositions réglementaires de la défenderesse. Cela revient à examiner si le règlement de 2005 est applicable, notamment au regard des droits acquis, d'une part, et, le cas échéant, si la fondation a correctement appliqué l'art. 27 dudit règlement.</w:t>
      </w:r>
    </w:p>
    <w:p>
      <w:r>
        <w:rPr>
          <w:b/>
        </w:rPr>
        <w:t>E. 7</w:t>
      </w:r>
    </w:p>
    <w:p>
      <w:r>
        <w:t>Dans un premier temps, il doit être déterminé si le demandeur peut se prévaloir de la protection des droits acquis à l'encontre de la défenderesse. a) Sous l'angle des droits acquis, l'arrêt de principe en matière de prévoyance professionnelle obligatoire est publié aux ATF 122 V 316, cité par la défenderesse. La jurisprudence exclut l'existence d'un principe supérieur garantissant les droits acquis ; elle a consacré le principe selon lequel les nouvelles règles de droit régissant la rente (celles qui étaient en vigueur lors de la naissance du droit aux prestations ; cf. ATF 121 V 97 consid. 1c) s'appliquent, dès leur entrée en vigueur, aux cas d'assurance nés avant ce moment, sauf disposition transitoire contraire. A défaut de principe général de garantie des droits acquis en prévoyance obligatoire, il tombe sous le sens, a fortiori, qu'aucune règle semblable n'existe en prévoyance plus étendue. L'institution de prévoyance peut toutefois la conférer à ses assurés et ayants droit.</w:t>
      </w:r>
    </w:p>
    <w:p>
      <w:r>
        <w:t>- 18 - Ainsi que l’a relevé le TASS dans un jugement du 12 mars 2007 (PP 15/06 – 22/2007), l’ATF 122 V 316 traite toutefois de la modification du règlement d'une institution survenue à la suite d'une modification d'une norme de niveau légal, de telle sorte qu'il n'est pas déterminant à lui seul in casu. b) Selon la jurisprudence, en l'absence de dispositions transitoires topiques dans un règlement, la question du règlement applicable ratione temporis doit être tranchée selon les règles générales sur l'application du droit public dans le temps et l'espace (droit intertemporel). Selon ces principes, l'on applique, en cas de changement de règles de droit, les dispositions en vigueur lors de la réalisation de l'état de fait qui doit être apprécié juridiquement ou qui a des conséquences juridiques (ATF 130 V 445 et les références ; ATF 130 V 329).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(TFA B 99/03 du</w:t>
      </w:r>
    </w:p>
    <w:p>
      <w:r>
        <w:rPr>
          <w:b/>
        </w:rPr>
        <w:t>E. 11</w:t>
      </w:r>
    </w:p>
    <w:p>
      <w:r>
        <w:t>Le demandeur, qui obtient gain de cause avec le concours d'un mandataire autorisé, a droit à des dépens, dont le montant doit être déterminé, sans égard à la valeur litigieuse, d'après l'importance et la complexité du litige (art. 61 let. g LPGA [loi fédérale du 6 octobre 2000 sur la partie générale du droit des assurances sociales, RS 830.1] et 55 al. 1 LPA-VD).</w:t>
      </w:r>
    </w:p>
    <w:p>
      <w:r>
        <w:t>- 24 - En l'espèce, il convient d'arrêter le montant des dépens à 2’500 fr. et de les mettre à la charge de la défenderesse,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