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ZI07.027047 vom 20. August 2009</w:t>
      </w:r>
    </w:p>
    <w:p>
      <w:r>
        <w:t>VD Tribunal cantonal, 2009-08-20, FR</w:t>
      </w:r>
    </w:p>
    <w:p>
      <w:r>
        <w:rPr>
          <w:b/>
        </w:rPr>
        <w:t xml:space="preserve">Quelle: </w:t>
      </w:r>
      <w:r>
        <w:t>https://mcp.opencaselaw.ch/entscheid/vd_gerichte_ZI07.027047</w:t>
      </w:r>
    </w:p>
    <w:p>
      <w:r>
        <w:t>FR: VD_GERICHTE ZI07.027047 du 20 août 2009</w:t>
      </w:r>
    </w:p>
    <w:p>
      <w:r>
        <w:t>IT: VD_GERICHTE ZI07.027047 del 20 agosto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Chaque canton désigne un tribunal qui connaît, en dernière instance cantonale, des contestations opposant les institutions de prévoyance, employeurs et ayants droit (art. 73 al. 1 LPP [loi fédérale du 25 juin 1982 sur la prévoyance professionnelle vieillesse, survivants et invalidité, RS 831.40]). Le for est au siège ou domicile suisse du défendeur ou au lieu de l'exploitation dans laquelle l'assuré a été engagé (art. 73 al.</w:t>
      </w:r>
    </w:p>
    <w:p>
      <w:r>
        <w:rPr>
          <w:b/>
        </w:rPr>
        <w:t>E. 3</w:t>
      </w:r>
    </w:p>
    <w:p>
      <w:r>
        <w:t>Il résulte de ce qui précède que la demande doit être rejetée. Il ne sera pas perçu de frais de justice (art. 73 al. 2 LPP) ni alloué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