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ZH25.027736 vom 13. Januar 2026</w:t>
      </w:r>
    </w:p>
    <w:p>
      <w:r>
        <w:t>VD Tribunal cantonal, 2026-01-13, FR</w:t>
      </w:r>
    </w:p>
    <w:p>
      <w:r>
        <w:rPr>
          <w:b/>
        </w:rPr>
        <w:t xml:space="preserve">Quelle: </w:t>
      </w:r>
      <w:r>
        <w:t>https://mcp.opencaselaw.ch/entscheid/vd_gerichte_ZH25.027736</w:t>
      </w:r>
    </w:p>
    <w:p>
      <w:r>
        <w:t>FR: VD_GERICHTE ZH25.027736 du 13 janvier 2026</w:t>
      </w:r>
    </w:p>
    <w:p>
      <w:r>
        <w:t>IT: VD_GERICHTE ZH25.027736 del 13 gennaio 2026</w:t>
      </w:r>
    </w:p>
    <w:p>
      <w:pPr>
        <w:pStyle w:val="Heading2"/>
      </w:pPr>
      <w:r>
        <w:t>Erwägungen</w:t>
      </w:r>
    </w:p>
    <w:p>
      <w:r>
        <w:rPr>
          <w:b/>
        </w:rPr>
        <w:t>E. 1</w:t>
      </w:r>
    </w:p>
    <w:p>
      <w:r>
        <w:t>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le recours a été déposé en temps utile auprès du tribunal compétent (art. 93 let. a LPA-VD [loi cantonale vaudoise du 28 octobre 2008 sur la procédure administrative ; BLV 173.31]). Il respecte les autres conditions formelles prévues par la loi (art. 61 let. b LPGA notamment), de sorte qu'il est recevable.</w:t>
      </w:r>
    </w:p>
    <w:p>
      <w:r>
        <w:rPr>
          <w:b/>
        </w:rPr>
        <w:t>E. 2</w:t>
      </w:r>
    </w:p>
    <w:p>
      <w:r>
        <w:t>Vu la valeur litigieuse inférieure à 30'000 fr., la cause est de la compétence du juge unique.</w:t>
      </w:r>
    </w:p>
    <w:p>
      <w:r>
        <w:rPr>
          <w:b/>
        </w:rPr>
        <w:t>E. 3</w:t>
      </w:r>
    </w:p>
    <w:p>
      <w:r>
        <w:t>Le litige porte sur la remise de l'obligation de restituer le montant de 9'937 fr. correspondant aux prestations complémentaires indûment perçues par le recourant entre le 1er décembre 2024 et le 30 avril 2025, singulièrement sur le point de savoir si le recourant peut se prévaloir de sa bonne foi. Il convient de préciser à ce stade que la question de la restitution du montant précité a été tranchée définitivement dans la décision rendue par l'intimée le 22 avril 2025, qui n'a pas été contestée plus avant par le recourant. Dans la présente procédure, il n'y a dès lors pas lieu de revenir sur le bien-fondé de la restitution ni sur le montant réclamé à cet égard.</w:t>
      </w:r>
    </w:p>
    <w:p>
      <w:r>
        <w:rPr>
          <w:b/>
        </w:rPr>
        <w:t>E. 4</w:t>
      </w:r>
    </w:p>
    <w:p>
      <w:r>
        <w:t>août 2022 consid. 4.2). Les comportements excluant la bonne foi ne sont pas limités aux violations du devoir d'annoncer ou de renseigner. Peuvent entrer en ligne de compte également d'autres comportements, notamment l'omission de se renseigner auprès de l'administration. En particulier, la</w:t>
      </w:r>
    </w:p>
    <w:p>
      <w:r>
        <w:t>- 7 - bonne foi doit être niée lorsque l'enrichi pouvait, au moment du versement, s'attendre à son obligation de restituer, parce qu'il savait ou devait savoir, en faisant preuve de l'attention requise, que la prestation était indue (art. 3 al. 2 CC ; ATF 130 V 414 consid. 4.3 et les références ; TF 9C_319/2013 du 27 octobre 2013 consid. 2.2 ; TF 8C_375/2012 du 30 avril 2013 consid. 5.2.1). De même, la bonne foi doit être écartée lorsque l'assuré ne contrôle pas ou insuffisamment la feuille de calcul des prestations complémentaires et qu'il ne signale pas en conséquence une erreur qui est aisément identifiable (TF 9C_269/2016 du 21 juin 2016 consid. 2 ; TF 9C_53/2014 du 20 août 2014 consid. 4.2.1 ; TF 8C_391/2008 du 14 juillet 2008 consid. 4.4.1).</w:t>
      </w:r>
    </w:p>
    <w:p>
      <w:r>
        <w:rPr>
          <w:b/>
        </w:rPr>
        <w:t>E. 5</w:t>
      </w:r>
    </w:p>
    <w:p>
      <w:r>
        <w:t>a) En l'espèce, l'intimée a estimé que le recourant ne pouvait pas se prévaloir de sa bonne foi au sens compris par l'art. 25 al. 1 LPGA. Il devait ainsi savoir, dès le début de sa nouvelle activité comme « campaigner » en novembre 2024, que les revenus qu'il en tirerait étaient de nature à avoir une influence sur son droit aux prestations complémentaires. En particulier, selon l'intimée, dans la mesure où, dès le</w:t>
      </w:r>
    </w:p>
    <w:p>
      <w:r>
        <w:rPr>
          <w:b/>
        </w:rPr>
        <w:t>E. 9</w:t>
      </w:r>
    </w:p>
    <w:p>
      <w:r>
        <w:t>décembre 2024, le recourant lui avait spontanément annoncé la conclusion d'un nouveau contrat de travail valable dès le 19 novembre 2024, prévoyant une rémunération variable, il devait s'attendre à ce que son droit aux prestations complémentaires fît l'objet d'un nouveau calcul, le cas échéant avec effet rétroactif, dès que sa rémunération exacte serait connue. Cela était d'autant plus le cas que des précisions avaient effectivement été demandées au recourant par courrier du 11 février 2025 au sujet du salaire qu'il avait perçu depuis novembre 2024, alors que, par ailleurs, d'autres modifications dans sa situation personnelle avaient déjà conduit par le passé à des nouveaux calculs du montant des prestations complémentaires auxquelles lui et son épouse pouvaient prétendre. b) Cette approche doit être confirmée.</w:t>
      </w:r>
    </w:p>
    <w:p>
      <w:r>
        <w:t>- 8 - aa) En procédure de recours, le recourant explique avoir pensé que la réduction du montant des prestations complémentaires qui lui avait été signifiée en 2024 était déjà à mettre en relation avec la prise en compte de son salaire dans le calcul des prestations complémentaires. Le recourant ne saurait à cet égard être suivi. Si une décision portant sur la réduction des prestations complémentaires était effectivement intervenue en 2024, elle remontait au 24 mai 2024, soit bien avant l'annonce à l'intimée de sa prise d'emploi, le 9 décembre 2024. Aussi, cette réduction devait être mise en lien, comme cela ressortait expressément de la décision du 24 mai 2024, avec le loyer de son appartement, dont le montant avait baissé depuis janvier 2024, le plan de calcul compris dans cette décision n'ayant logiquement pas fait mention d'un quelconque salaire puisqu'il n'avait alors pas encore conclu de nouveau contrat de travail. bb) De même, si le recourant s'était certes vu notifier le 31 décembre 2024, soit après son annonce du 9 décembre 2024, une décision portant sur son droit aux prestations complémentaires dès le 1er janvier 2025 (pour des montants de 998 fr. pour le recourant et de 997 fr. pour son épouse), il apparaît toutefois que le plan de calcul annexé à cette décision ne comportait alors, au titre des revenus déterminants, que la seule rente AVS perçue par le couple. Dans ce contexte, le recourant devait à tout le moins se douter que ce plan de calcul était susceptible d'être modifié, compte tenu du salaire qu'il avait perçu pour la première fois le 31 décembre 2024, cela à raison d'un montant net de 5'865 francs (pour les mois de novembre et décembre 2024). À cet égard, le recourant ne saurait se prévaloir d'une méconnaissance du droit des assurances sociales. En effet, outre que le montant de son salaire n'est en rien insignifiant, dès lors qu'il s'élève au moins à quelque 4'000 fr. brut par mois – la fiche de salaire de janvier 2025 fait état d'un montant net de 3'800 fr. –, il est évident qu'un tel revenu devait être pris en compte au moment de déterminer les revenus permettant de calculer son droit aux prestations complémentaires.</w:t>
      </w:r>
    </w:p>
    <w:p>
      <w:r>
        <w:t>- 9 - L'obligation de communiquer toute modification de la situation est d'ailleurs clairement rappelée non seulement au moment du dépôt de la demande de prestations complémentaires – que le recourant avait signée –, mais également en annexe de chacune des décisions qu'il avait reçues de l'intimée. Dans ce contexte, il aurait appartenu au recourant de se préoccuper de l'absence de prise en compte du revenu qu'il tirait de son activité de collecteur de signatures et de tenir pour acquis qu'une fois le montant de son salaire connu de l'intimée, une restitution des prestations complémentaires lui serait vraisemblablement demandée. c) Pour le surplus, dès lors que la bonne foi du recourant n'est pas reconnue en l'espèce, il n'y a pas lieu d'examiner si la seconde condition décrite à l'art. 25 al. 1 LPGA (situation difficile) est réalisée. 6. a) Sur le vu de ce qui précède, le recours est rejeté et la décision sur opposition entreprise confirmée. b) Il n’y a pas lieu de percevoir de frais judiciaires (art. 61 let. fbis LPGA), ni d’allouer de dépens au recourant, qui n’obtient pas gain de cause (art. 61 let. g LPGA). Par ces motifs,</w:t>
      </w:r>
    </w:p>
    <w:p>
      <w:r>
        <w:t>- 10 - le juge unique p r o n o n c e : I. Le recours est rejeté. II. La décision sur opposition rendue le 22 mai 2025 par la Caisse cantonale vaudoise de compensation AVS est confirmée. III. Il n'est pas perçu de frais judiciaires, ni alloué de dépens. Le juge unique : Le greffier : Du L'arrêt qui précède est notifié à : - Consultation juridique du Valentin (pour D.________), - Caisse cantonale vaudoise de compensation AVS, - Office fédéral des assurances sociales (OFAS),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