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ZH24.056044 vom 22. Mai 2025</w:t>
      </w:r>
    </w:p>
    <w:p>
      <w:r>
        <w:t>VD Tribunal cantonal, 2025-05-22, FR</w:t>
      </w:r>
    </w:p>
    <w:p>
      <w:r>
        <w:rPr>
          <w:b/>
        </w:rPr>
        <w:t xml:space="preserve">Quelle: </w:t>
      </w:r>
      <w:r>
        <w:t>https://mcp.opencaselaw.ch/entscheid/vd_gerichte_ZH24.056044</w:t>
      </w:r>
    </w:p>
    <w:p>
      <w:r>
        <w:t>FR: VD_GERICHTE ZH24.056044 du 22 mai 2025</w:t>
      </w:r>
    </w:p>
    <w:p>
      <w:r>
        <w:t>IT: VD_GERICHTE ZH24.056044 del 22 maggio 2025</w:t>
      </w:r>
    </w:p>
    <w:p>
      <w:pPr>
        <w:pStyle w:val="Heading2"/>
      </w:pPr>
      <w:r>
        <w:t>Erwägungen</w:t>
      </w:r>
    </w:p>
    <w:p>
      <w:r>
        <w:rPr>
          <w:b/>
        </w:rPr>
        <w:t>E. 03</w:t>
      </w:r>
    </w:p>
    <w:p>
      <w:r>
        <w:t>juillet 2024 » et « les dates et transactions bancaires des versements des dettes en restitutions pour la CIP, la [...] et les PC de 2019 ». Par réponse du 20 décembre 2024, la Caisse cantonale vaudoise de compensation AVS a conclu au rejet du recours. Le 30 janvier 2025, la recourante a complété son recours et pris les conclusions suivantes : “Au vu de ce qui précède, Madame C.________, recourante, je conclus, avec suite de frais et dépens, au maintien de l’ensemble des conclusions formulées dans mes écritures du 03 septembre et 14 novembre 2024 et ajoute, à ce que la Cour de céans prononce : - un droit à faire rectifier le décompte des PC pour l’année 2021, en déduisant du revenu déterminant l’entier des dettes en restitution. - le versement effectif des 4 mois de rentes AI comptabilisés dans le montant du revenu déterminant par la CC22 dans le décompte des PC en 2021. - un droit à ce que le montant rétroactif AI ne soit pas imputé conjointement à la période comptable des 34 mois rétroactifs et aux périodes comptables postérieures au versement. - un droit à la révision de la naissance du droit aux PC fondée sur les motivations de la décision AI du 14 février 2024”. Le 7 février 2025, l’intimée a confirmé ses conclusions.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décision litigieuse statue sur le droit aux prestations complémentaires en faveur de la recourante ensuite de décisions de l’OAI de lui octroyer une rente entière d’invalidité à compter du 1er mai 2021. Ainsi, les critiques et conclusions de la recourante portant sur le calcul de son revenu déterminant pour le droit aux prestations complémentaires et sur le début de son droit entrent dans l’objet du litige tel que défini par la décision attaquée. En revanche, tel n’est pas le cas de ses autres griefs, tendant notamment au versement d’une rente AI, lesquels sont partant irrecevables, les critiques portant sur le calcul des intérêts du rétroactif AI étant traités dans l’arrêt de la Cour de céans rendu ce jour en cette matière distincte des assurances sociales (la recourante ayant transmis le même « complément » dans chaque procédure).</w:t>
      </w:r>
    </w:p>
    <w:p>
      <w:r>
        <w:rPr>
          <w:b/>
        </w:rPr>
        <w:t>E. 3</w:t>
      </w:r>
    </w:p>
    <w:p>
      <w:r>
        <w:t>a) Les personnes qui ont leur domicile et leur résidence habituelle (art. 13 LPGA) en Suisse ont droit à des prestations complémentaires, notamment dès lors qu'elles ont droit à une rente ou à une allocation pour impotent de l’assurance-invalidité (AI) ou perçoivent</w:t>
      </w:r>
    </w:p>
    <w:p>
      <w:r>
        <w:t>- 6 - des indemnités journalières de l’AI sans interruption pendant six mois au moins (art. 4 al. 1 let. c LPC).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ou 60 % du montant forfaitaire annuel pour l’assurance obligatoire des soins au sens de l’art. 10 al. 3 let. d LPC. b) Les dépenses reconnues sont énumérées à l’art. 10 LPC. Pour les personnes qui ne vivent pas en permanence ni pour une période de plus de trois mois dans un home ou dans un hôpital (personnes vivant à domicile), les dépenses reconnues comprennent notamment (art. 10 al. 1 LPC) un montant annuel destiné à la couverture des besoins vitaux qui s’élevait, pour les personnes seules, à 19'610 fr. en 2021 et 2022 et à 20'100 fr. en 2023 et 2024 (let. a, dans sa teneur en vigueur durant ces différentes années), ainsi que le loyer d’un appartement et les frais accessoires y relatifs, avec certaines cautèles (let. b). Sont en outre reconnus comme dépenses, selon l’art. 10 al. 3 LPC, pour toutes les personnes, les cotisations aux assurances sociales de la Confédération, à l’exclusion des primes d’assurance-maladie (let. c), ainsi que le montant pour l’assurance obligatoire des soins, lequel consiste en un montant forfaitaire annuel qui correspond au montant de la prime moyenne cantonale ou régionale pour l’assurance obligatoire des soins (couverture accidents comprise), mais qui n’excède pas celui de la prime effective (let. d). c/aa) Conformément à l’art. 11 al. 1 LPC, les revenus déterminants comprennent en particulier les rentes, pensions et autres prestations périodiques, y compris les rentes de l’AVS et de l’AI (let. d) et la réduction des primes accordée pour une période pour laquelle des prestations complémentaires sont attribuées avec effet rétroactif (let. i). Il est en outre tenu compte de la fortune, dans une certaine mesure (art. 11 al. 1 let. c LPC).</w:t>
      </w:r>
    </w:p>
    <w:p>
      <w:r>
        <w:t>- 7 - bb) Les directives concernant les prestations complémentaires à l’AVS et à l’AI édictées par l’OFAS (DPC, état au 1er janvier 2024) précisent que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dont la teneur était la même en 2021 déjà). En cas de versements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 (ch. 3451.03, dont la teneur est inchangée depuis 2021).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t>- 8 -</w:t>
      </w:r>
    </w:p>
    <w:p>
      <w:r>
        <w:rPr>
          <w:b/>
        </w:rPr>
        <w:t>E. 5</w:t>
      </w:r>
    </w:p>
    <w:p>
      <w:r>
        <w:t>a) En l’occurrence, la recourante reproche, en premier lieu, à l’intimée d’avoir à tort examiné son droit aux prestations complémentaires à partir de mai 2021. Elle soutient que son droit auxdites prestations était ouvert dès le mois de novembre 2020 déjà, moment du dépôt de sa demande de rente de l’assurance-invalidité alors que son invalidité était reconnue par l’OAI. b) La recourante ne sera pas suivie. Il apparaît en effet que son droit à une rente entière de l’assurance-invalidité a débuté le 1er mai 2021 (cf. arrêt CASSO AI 76 &amp; 254/24 de ce jour). Or, le droit aux prestations complémentaires est intrinsèquement lié au droit de l’intéressée à bénéficier d'une rente d'invalidité (cf. art. 4 al. 1 let. c LPC ; TF 9C_1040/2012 du 30 avril 2013 consid. 5.2). Il ne saurait donc débuter avant le 1er mai 2021. En conséquence, ce premier grief doit être rejeté.</w:t>
      </w:r>
    </w:p>
    <w:p>
      <w:r>
        <w:rPr>
          <w:b/>
        </w:rPr>
        <w:t>E. 6</w:t>
      </w:r>
    </w:p>
    <w:p>
      <w:r>
        <w:t>a) La recourante se plaint également de nombreuses erreurs dans les décomptes de prestations complémentaires sur lesquels se fonde la décision attaquée. Elle formule des critiques valant pour l’ensemble des décomptes (cf. infra let. b) et d’autres concernant des décomptes précis (cf. infra let. c). b/aa) La recourante estime ainsi que l’intimée ne devait pas tenir compte de sa rente d’invalidité pour le calcul des prestations complémentaires, au motif qu’elle n’avait pas perçu de rente entre les années 2021 à 2023, mais que le montant du rétroactif aurait dû être comptabilisé ultérieurement, soit à la date de son versement par l’OAI. Cet argument n’est pas convaincant. Le droit aux prestations complémentaires étant lié au versement de la rente de l’assurance- invalidité, il est par conséquent ouvert pour les périodes couvertes par le rétroactif de la rente AI. L’intimée était dès lors tenue de tenir compte de cet élément dans son calcul pour examiner a posteriori la situation financière de la recourante en lien avec son droit éventuel aux prestations</w:t>
      </w:r>
    </w:p>
    <w:p>
      <w:r>
        <w:t>- 9 - complémentaires, cette dernière ne contestant au demeurant pas que la rente AI fait partie du revenu déterminant. bb) Dans le même sens, la recourante est d’avis que la Caisse ne devait pas tenir compte, dans son revenu déterminant, des montants compensés dans la décision de l’OAI du 3 juillet 2024 en remboursement de prestations versées par d’autres assurances. A nouveau, on ne saurait la suivre dans ses explications, dès lors que l’intimée devait examiner a posteriori et de manière fictive la situation qui aurait été la sienne si sa rente AI lui avait été versée en temps réel au titre de revenu déterminant. Le fait que ces montants aient servi à compenser des dettes de l’intéressée n’est à cet égard pas déterminant, les dettes étant portées en déduction de la fortune (dans une certaine mesure) et non du revenu. cc) Quant à la fortune constituée par le rétroactif de rente AI, il ne ressort pas des décomptes contestés que la Caisse en aurait tenu compte, ce qu’elle a expliqué dans la décision attaquée et confirmé dans sa réponse du 20 décembre 2024. Partant, on ne discerne pas quelles sont les erreurs de calcul dont se plaint la recourante sur ce point. c) Reste à examiner les critiques concernant des décomptes de prestations complémentaires précis. aa) Pour la période du 1er mai au 31 décembre 2021, l’intimée a retenu que la situation de la recourante présentait un excédent de revenu de 2'044 francs. La recourante conteste le bienfondé du calcul de l’intimée, au motif qu’il ne se justifiait pas de prendre en compte, dans les revenus déterminants, l’entier du salaire qu’elle avait perçu cette année-là, mais uniquement celui versé sur la période de huit mois examinée, soit du 1er mai au 31 décembre 2021. Elle estime en outre que l’intimée a à tort annualisé sa rente AI, en y ajoutant quatre mensualités (de janvier à avril 2021) qu’elle n’a jamais perçues.</w:t>
      </w:r>
    </w:p>
    <w:p>
      <w:r>
        <w:t>- 10 - Les critiques de la recourante sont sans incidence sur l’issue du litige. En effet, même en suivant son raisonnement et les chiffres qu’elle avance et en admettant que la comparaison des revenus et dépenses ne doit s’effectuer que sur huit mois, il en résulte toujours un excédent de revenu pour la période en cause. Le revenu déterminant est ainsi de 27'418 fr. 80 (1'244 fr. [salaire durant 8 mois, soit 2/3 de l’année] + 17'664 fr. [rente AI mensuelle de 2'208 fr. sur 8 mois] + 8'510 fr. 80 [rente LPP mensuelle de 1'063 fr. 85 sur la même période]) et les charges de 26'278 fr. ([39'417 fr./12] x 8). L’excédent de revenu de 1'140 fr. 80 (27'418 fr. 80 – 26'278 fr.) n’ouvre donc pas le droit aux prestations complémentaires en 2021. La recourante estime encore que le montant des « dettes en restitution de 3'385,90 CHF » ne devait pas être comptabilisé dans le revenu déterminant du décompte de 2021. Or comme expliqué plus haut, les montants compensés dans la décision de l’OAI du 3 juillet 2024 en remboursement de prestations versées par d’autres assurances ne sont pas pertinents pour l’issue du présent litige. De plus, la somme de 3'385 fr. 90 ne ressort pas des décomptes de prestations complémentaires du dossier, de sorte qu’on ne comprend pas sur quoi portent les critiques de la recourante. En conséquence, ce grief doit être écarté, dans la mesure où il peut être traité. bb) S’agissant des décomptes pour les années 2023 – 2024, la recourante fait grief à l’intimée de ne pas avoir tenu compte du montant des cotisations obligatoires AVS/AI (personne sans activité lucrative). Cette critique tombe à faux. En effet, comme l’intimée l’observe dans sa réponse du 20 décembre 2024, les cotisations obligatoires AVS/AI de la recourante en qualité de personne sans activité lucrative pour les années 2023 et 2024 sont prises en charge par le canton de domicile, conformément à l’art. 11 al. 2 LAVS (loi fédérale du 20 décembre 1946 sur l’assurance-vieillesse et survivants ; RS 831.10). En outre, à l’appui de ses allégations la recourante n’établit pas avoir acquitté de telles cotisations sociales. La Caisse n’avait par conséquent aucun</w:t>
      </w:r>
    </w:p>
    <w:p>
      <w:r>
        <w:t>- 11 - motif de déduire le montant des cotisations obligatoires AVS/AI au titre de dépenses justifiées de la recourante dans les décomptes 2023 – 2024. cc) Concernant le décompte de prestations complémentaires pour 2023, la recourante critique le montant de la participation des PC à ses primes LAMal, lequel ne couvre pas l’entier de la somme. En effet, il ressort de ce décompte que le montant annuel des primes LAMal de la recourante s’élève à 5'315 fr., alors que la « participation PC au subventionnement des primes LAMal » s’élève à 5'280 francs. Au pied de sa première page, le décompte mentionne que la participation de la Caisse aux primes de l’assurance obligatoire des soins (couverture de base) LAMal a été arrêtée par l’Office vaudois de l’assurance-maladie (OVAM) dans une décision séparée. Or la recourante ne soutient pas avoir formé un recours contre cette décision, et il n’y a aucune trace d’un tel recours au dossier. Cela étant, la présente procédure n’est pas le lieu pour remettre en cause ce montant, ressortant d’une décision entrée en force. C’est néanmoins l’occasion de rappeler que les subsides à l’assurance-maladie servent à limiter la charge des primes LAMal en fonction des revenus d’une personne physique. Sur la base du barème applicable à l’unité économique de référence (UER), la personne a droit à un subside couvrant l’entier de sa prime ou au subside maximum (si elle est bénéficiaire de prestations complémentaires à AVS/AI [PC] ou du Revenu d’insertion [RI]). La LHPS (loi du 9 novembre 2010 sur l’harmonisation et la coordination de l’octroi des prestations sociales et d’aide à la formation et au logement cantonales vaudoises ; RSV 850.03), entrée en vigueur le 1er janvier 2013, s’applique notamment aux subsides aux primes de l’assurance-maladie (art. 2 al. 1 let. a, premier tiret, LHPS). A ses art. 6 à 10, cette loi définit en outre les principes régissant le revenu déterminant unifié (RDU) et l’UER (cf. art. 1 al. 2 let. c - d LHPS). A cet égard, le décompte établi pour l’année 2023 précise que le montant maximal du subventionnement dans le canton de Vaud correspond à 100 % de la prime cantonale de référence. Or la prime de référence mensuelle pour le calcul du subside spécifique d’une personne</w:t>
      </w:r>
    </w:p>
    <w:p>
      <w:r>
        <w:t>- 12 - seule (adulte de 26 ans et plus) en région 2 avec un RDU de 0 à 62'500 fr. s’élevait à 440 fr. en 2023 (www.vd.ch/fileadmin/user_upload/themes/social/Prestations__assurance_e t_soutien/Assurance_maladie/Subside/Web_OV23_Notice_explicative.pdf). Cela correspond au montant de subside de 5'280 fr. (440 fr. x 12) retenu dans le décompte 2023. Il apparaît donc que la décision attaquée n’est pas critiquable sur ce point non plus.</w:t>
      </w:r>
    </w:p>
    <w:p>
      <w:r>
        <w:rPr>
          <w:b/>
        </w:rPr>
        <w:t>E. 7</w:t>
      </w:r>
    </w:p>
    <w:p>
      <w:r>
        <w:t>Le dossier est complet et il n’y a pas lieu de donner suite aux mesures d’instruction requises par la recourante dans son écriture déposée le 15 novembre 2024, à savoir « le détail du calcul des intérêts moratoires notifiés dans la décision AI du 03 juillet 2024 » et « les dates et transactions bancaires des versements des dettes en restitutions pour la CIP, la [...] et les PC de 2019 », réquisitions qui doivent ainsi être rejetées par appréciation anticipée des preuves (ATF 145 I 167 consid. 4.1 ; 140 I 285 consid. 6.3.1 ; 134 I 140 consid. 5.3 ; 130 II 425 consid. 2.1).</w:t>
      </w:r>
    </w:p>
    <w:p>
      <w:r>
        <w:rPr>
          <w:b/>
        </w:rPr>
        <w:t>E. 8</w:t>
      </w:r>
    </w:p>
    <w:p>
      <w:r>
        <w:t>a) En définitive, le recours, mal fondé, doit être rejeté dans la mesure où il est recevable et la décision sur opposition litigieuse confirmée. b) Il n’y a pas lieu de percevoir de frais judiciaires (art. 61 let. fbis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