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ZH23.035780 vom 2. Juli 2024</w:t>
      </w:r>
    </w:p>
    <w:p>
      <w:r>
        <w:t>VD Tribunal cantonal, 2024-07-02, FR</w:t>
      </w:r>
    </w:p>
    <w:p>
      <w:r>
        <w:rPr>
          <w:b/>
        </w:rPr>
        <w:t xml:space="preserve">Quelle: </w:t>
      </w:r>
      <w:r>
        <w:t>https://mcp.opencaselaw.ch/entscheid/vd_gerichte_ZH23.035780</w:t>
      </w:r>
    </w:p>
    <w:p>
      <w:r>
        <w:t>FR: VD_GERICHTE ZH23.035780 du 2 juillet 2024</w:t>
      </w:r>
    </w:p>
    <w:p>
      <w:r>
        <w:t>IT: VD_GERICHTE ZH23.035780 del 2 luglio 2024</w:t>
      </w:r>
    </w:p>
    <w:p>
      <w:pPr>
        <w:pStyle w:val="Heading2"/>
      </w:pPr>
      <w:r>
        <w:t>Erwägungen</w:t>
      </w:r>
    </w:p>
    <w:p>
      <w:r>
        <w:rPr>
          <w:b/>
        </w:rPr>
        <w:t>E. 2</w:t>
      </w:r>
    </w:p>
    <w:p>
      <w:r>
        <w:t>la bonne foi systématiquement manifestée par M. C.________ soit reconnue</w:t>
      </w:r>
    </w:p>
    <w:p>
      <w:r>
        <w:rPr>
          <w:b/>
        </w:rPr>
        <w:t>E. 3</w:t>
      </w:r>
    </w:p>
    <w:p>
      <w:r>
        <w:t>les difficultés socio-professionnelles et économiques de l’administré soient reconnues</w:t>
      </w:r>
    </w:p>
    <w:p>
      <w:r>
        <w:rPr>
          <w:b/>
        </w:rPr>
        <w:t>E. 4</w:t>
      </w:r>
    </w:p>
    <w:p>
      <w:r>
        <w:t>l’incapacité de discernement au moment des faits qui sont reprochés à M. C.________ soit reconnue</w:t>
      </w:r>
    </w:p>
    <w:p>
      <w:r>
        <w:rPr>
          <w:b/>
        </w:rPr>
        <w:t>E. 5</w:t>
      </w:r>
    </w:p>
    <w:p>
      <w:r>
        <w:t>l’administré ne puisse pas faire l’objet d’éventuelles procédures pénales, civiles et/ou d’exécution forcée (poursuite)</w:t>
      </w:r>
    </w:p>
    <w:p>
      <w:r>
        <w:rPr>
          <w:b/>
        </w:rPr>
        <w:t>E. 6</w:t>
      </w:r>
    </w:p>
    <w:p>
      <w:r>
        <w:t>tout document en possession de la caisse AVS concernant la période précédente au 30 mai 2017 soit supprimé avec effet immédiat et définitivement du dossier officiel.</w:t>
      </w:r>
    </w:p>
    <w:p>
      <w:r>
        <w:rPr>
          <w:b/>
        </w:rPr>
        <w:t>E. 7</w:t>
      </w:r>
    </w:p>
    <w:p>
      <w:r>
        <w:t>il soit reconnu que M. C.________ n’a jamais accordé à la caisse AVS la possibilité et le droit de conserver, enregistrer et reproduire des documents le concernant qui précèdent le début de l’octroi des prestations complémentaires (30 mai 2017)</w:t>
      </w:r>
    </w:p>
    <w:p>
      <w:r>
        <w:rPr>
          <w:b/>
        </w:rPr>
        <w:t>E. 7.1</w:t>
      </w:r>
    </w:p>
    <w:p>
      <w:r>
        <w:t>et les références citées). Le juge n’a pas à prendre en considération les modifications du droit postérieures à la date déterminante de la décision litigieuse (TF 9C_881/2018 du 6 mars 2019 consid. 4.1), sous réserve de motifs particuliers imposant l'application immédiate du nouveau droit (ATF 136 V 24 consid. 4.3 ; 119 Ib 103 consid. 5). b) En l’espèce, la décision sur opposition du 2 août 2023 concerne la remise de l’obligation de restituer les prestations complémentaires reçues entre mai 2017 et janvier 2022. Dans la mesure où le litige porte sur des prestations perçues tant avant l’entrée en vigueur des modifications de la LPC qu’après, la question de l’application de l’ancien ou du nouveau droit devrait être examinée. Ce point peut cependant être laissé ouvert en l’espèce dès lors que la question de l’octroi ou refus de la remise de l’obligation de restituer sera examinée à l’aune de l’art. 25 LPGA, disposition qui n’est en l’occurrence pas touchée par la révision de la LPC.</w:t>
      </w:r>
    </w:p>
    <w:p>
      <w:r>
        <w:t>- 13 - 5. a) Une demande de remise ne peut être traitée sur le fond que si la décision de restitution est entrée en force, la remise et son étendue faisant en principe l’objet d’une procédure distincte de celle de la restitution (art. 4 al. 2 OPGA [ordonnance du 11 septembre 2002 sur la partie générale du droit des assurances sociales ; RS 830.11] ; TF 8C_658/2021 du 15 mars 2022 consid. 4.3.3 ; 8C_799/2017 du 11 mars 2019 consid. 6 et les références). b) En l’espèce, c’est à tort que l’intimée retient que la décision sur opposition du 27 janvier 2023 statuant sur le principe de la restitution des prestations versées indûment était entrée en force lors de l’édition de la décision sur opposition litigieuse, compte tenu du recours alors pendant auprès de la Cour de céans (CASSO PC 41/23 - 13/2024). Cet élément n’est toutefois pas déterminant, puisque dans l’intervalle l’arrêt rendu par la Cour de céans est entré en force, à défaut de recours déposé auprès du Tribunal fédéral. Par conséquent, c’est en vain que le recourant conteste le principe même de son obligation de restituer les prestations indues, en invoquant notamment l’absence de sa signature sur le formulaire en mai 2017 et la prescription de la créance en restitution. Dès lors, il convient uniquement d’examiner si les conditions de la remise de l’obligation de restituer les prestations indues sont réunies. 6. a) Selon l’art. 31 al. 1 LPGA, l’ayant droit, ses proches ou les tiers auxquels une prestation est versée sont tenus de communiquer à l’assureur ou, selon les cas, à l’organe compétent toute modification importante des circonstances déterminantes pour l’octroi d’une prestation. Pour les prestations complémentaires de droit fédéral, cette règle est énoncée à l’art. 24 OPC-AVS/AI (ordonnance du 15 janvier 1971 sur les prestations complémentaires à l’assurance-vieillesse, survivants et invalidité ; RS 831.301), selon lequel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(TF 9C_4/2023 du 28 mars 2023 consid. 3.4 ; 9C_455/2021 du</w:t>
      </w:r>
    </w:p>
    <w:p>
      <w:r>
        <w:t>- 14 - 1er décembre 2021 consid. 2.2 ; 6B_791/2013 du 3 mars 2014 consid. 3.1.1 ; 9C_384/2010 du 15 mars 2011 consid. 3.2). La violation de l’obligation de communiquer toute modification importante des circonstances déterminantes pour l’octroi d’une prestation est sanctionnée par le biais de l’obligation de restitution fondée sur l’art. 25 al. 1 LPGA (ATF 143 V 241 consid. 4.6). b) Selon l’art. 25 al. 1 LPGA, les prestations indûment touchées doivent être restituées. A teneur de l’art. 4 al. 1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8C_557/2021 du 17 février 2022 consid. 4 ; 9C_43/2020 du 13 octobre 2020 consid. 3). Selon la jurisprudence, l’ignorance, par le bénéficiaire,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par exemple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une situation identique et dans les mêmes circonstances (ATF 110 V 176 consid. 3d ; TF 9C_16/2019 du 25 avril 2019 consid. 4 ; 8C_684/2018 du 17 avril 2019 consid. 3). En revanche, le bénéficiaire peut invoquer sa bonne foi lorsque l’acte ou l’omission fautifs ne constituent qu’une violation légère de l’obligation d’annoncer ou de renseigner (ATF 138 V 218 consid. 4 ; 112 V 97 consid. 2c ; 110 V 176 consid. 3c ; TF 9C_16/2019 du 25 avril 2019 consid. 4 ; 8C_684/2018 du 17 avril 2019 consid. 3).</w:t>
      </w:r>
    </w:p>
    <w:p>
      <w:r>
        <w:t>- 15 - On peut admettre d’un assuré qu’il décèle des erreurs manifestes et qu’il en fasse l’annonce à la caisse (TF 9C_43/2020 du 13 octobre 2020 consid. 3 ; 9C_16/2019 du 25 avril 2019 consid. 4 et les références ; 8C_684/2018 du 17 avril 2019 consid. 3 et les références ; sur le tout, SYLVIE PÉTREMAND, in : DUPONT/MOSER-SZELESS [édit.], Commentaire romand, Loi sur la partie générale des assurances sociales, 2018, n. 63 s. ad art. 25 LPGA ; MICHEL VALTERIO, Commentaire de la loi fédérale sur les prestations complémentaires à l’AVS et à l’AI, 2015, n. 137 ad art. 21 LPC). La bonne foi est en particulier exclue lorsque l’assuré a rempli d’une manière inexacte certains points décisifs d’une formule de demande (MICHEL VALTERIO, op. cit., n. 138 ad art. 21 LPC et les références) ou lorsqu’il n’a pas déclaré que son conjoint touchait désormais une rente, y compris lorsque dite rente émanait de la même institution d’assurances sociales (TF 8C_766/2007 du 17 avril 2008 consid. 4). Il importe peu que l’intéressé ne maîtrise pas la langue, sa signature sur le formulaire de demande suffit pour que l’intimée puisse se prévaloir de ce qu’il a compris la teneur du document, respectivement de ses obligations (ATF 108 II 550 consid. 2d ; TFA K 17/04 du 28 mai 2004 consid. 4.2). On précisera encore que la bonne foi doit être écartée lorsque l’assuré ne contrôle pas ou insuffisamment la feuille de calcul des prestations complémentaires et qu’il ne signale pas en conséquence une erreur qui est aisément identifiable (TF 9C_455/2021 précité consid. 4.2.1 ; 9C_318/2021 du 21 septembre 2021 consid. 3.2 ; 9C_269/2016 du 21 juin 2016 consid. 2 ; 9C_53/2014 du 20 août 2014 consid. 4.2.1). 7. L’intimée a estimé que la bonne foi du recourant était exclue dans la mesure où il avait violé son obligation de la renseigner (cf. art. 24 OPC-AVS/AI) en ne lui communiquant pas le fait qu’il faisait partie d’une hoirie depuis 2009. Pour sa part, le recourant a contesté le refus de l’intimée de la remise de l’obligation de restituer et a soulevé à cet effet plusieurs griefs tendant à faire reconnaître sa bonne foi. a) Dans un premier grief, le recourant fait valoir qu’il n’était pas en mesure au moment de la demande de prestations</w:t>
      </w:r>
    </w:p>
    <w:p>
      <w:r>
        <w:t>- 16 - complémentaires en 2017 d’indiquer de manière spontanée qu’il faisait partie d’une hoirie, vu qu’il était incapable de discernement. aa) Selon l’art. 16 CC (Code civil suisse du 10 décembre 1907 ; RS 210), toute personne qui n’est pas privée d’agir raisonnablement en raison de son jeune âge, de déficience mentale, de troubles psychiques, d’ivresse ou d’autres causes semblables est capable de discernement au sens de la présente loi. Celui qui en allègue l’absence doit prouver l’incapacité de discernement au stade de la vraisemblance prépondérante (ATF 118 Ia 236 consid. 2b ; TF 8C_459/2017 du 16 avril 2018 consid. 4.5 ; TF 6B_869/2010 du 16 septembre 2011 consid. 4.2). Cette présomption n'existe toutefois que s'il n'y a pas de raison générale de mettre en doute la capacité de discernement de la personne concernée (DESCHENAUX/STEINAUER, Personnes physiques et tutelle, 4e éd., Berne 2001, n. 85 p. 30) ce qui est le cas des adultes qui ne sont pas atteints de maladie mentale ou de faiblesse d'esprit. Pour ces derniers, la présomption est inversée et va dans le sens d'une incapacité de discernement (ATF 134 II 235 consid. 4.3.3). Cette présomption de fait concerne les personnes, qui, au moment de l'acte, se trouvent dans un état durable d'altération mentale liée à l'âge ou à la maladie (cf. ATF 124 III 5 consid. 4). Toute atteinte à la santé mentale ne permet pas de présumer l'incapacité de discernement. Il faut que cette atteinte crée une dégradation durable et importante des facultés de l'esprit (TF 5A_823/2022 du 17 mai 2023 consid. 3.2.1 ; 5A_81/2015 du 28 mai 2015 consid. 4.1 ; 5A_859/2014 du 17 mars 2015 consid. 4.1.2 et la référence). bb) En l’espèce, contrairement à ce soutient le recourant, son incapacité de discernement ne saurait être présumée. En effet, le rapport du 12 septembre 2017 des médecins du Service des maladies infectieuses du CHUV au dossier atteste, avec répercussion sur la capacité de travail, d’un carcinome épidermoïde du canal anal, stade pT1 N0 M0 diagnostiqué en septembre 2011, traité par radiothérapie en 2011, avec récidive locale confirmée par biopsie en 2013, d’une infection du site opératoire avec collection et abcès rétro péritonéal à staphylocoque doré en contact avec le filet, d’une infection active du filet en place à staphylocoque doré</w:t>
      </w:r>
    </w:p>
    <w:p>
      <w:r>
        <w:t>- 17 - nécessitant une antibiothérapie suppressive de doxycycline à vie, d’une neuropathie des membres inférieurs secondaires au traitement de chimiothérapie, ainsi que d’un examen neuropsychologique pratiqué le 3 août 2017 lequel a mis en évidence des troubles cognitifs liés à une infection HIV probable (ralentissement de la vitesse de traitement, déficit de la mémoire de travail, dysfonctionnement exécutif et perturbation des habilités motrices). Contrairement à l’opinion du recourant, l’existence de troubles cognitifs n’est pas nécessairement à l’origine d’une altération de la capacité de discernement sur le long terme. Il convient de constater que le recourant n’a pas fait l’objet d’une procédure en protection de l’adulte, qu’il est capable d’organiser seul ses voyages depuis la Suisse vers la Thaïlande et que les atteintes à la santé sont connues et diagnostiquées depuis plusieurs années. Les multiples démarches administratives et judiciaires au dossier, témoignent en outre si besoin que, malgré son état de santé déficient depuis plusieurs années, le recourant dispose encore d’une autonomie suffisante et à tout le moins de sa capacité de discernement en lien avec la gestion administrative de ses ressources, spécialement quant aux interactions avec la Caisse AVS en charge de ses prestations complémentaires. Ainsi, les éléments au dossier ne permettent pas de retenir que les capacités intellectuelles et cognitives du recourant seraient limitées sur le long terme au point qu’elles jetteraient un doute sur sa capacité de discernement en l’empêchant de renseigner spontanément la caisse sur sa situation économique réelle et lui fournir l’ensemble des documents nécessaires. b) Dans un second grief, le recourant reproche à un collaborateur de l’intimée – en présence duquel la demande de prestations complémentaires de 2017 a été remplie –, d’avoir « décidé de ne pas interroger M. C.________ quant à une hoirie/succession non partagée et n’a[voir] pas exigé de justificatif quelconque ». Il fait valoir qu’« ainsi la responsabilité conséquente lui incombe de façon exclusive ».</w:t>
      </w:r>
    </w:p>
    <w:p>
      <w:r>
        <w:t>- 18 - Contrairement aux allégations du recourant, on relèvera que ce dernier a déposé une demande de prestations complémentaires en 2014, laquelle était datée et signée. Sa demande de prestations complémentaires a été réactivée le 30 mai 2017, pendant son séjour au CHUV, à la suite de son retour de Thaïlande et du dépôt d’une demande de Revenu d’insertion (RI). Faute de disponibilité du recourant, l’intimée s’était fondée sur la déclaration fiscale 2016 laquelle ne contenait toutefois aucune mention concernant sa fortune immobilière. L’assuré a ainsi omis de déclarer qu’il était propriétaire d’un bien immobilier par suite du décès de son père et du transfert de l’épouse du défunt de sa part aux quatre enfants (dont le recourant) contre un droit d’habitation, et ainsi qu’il était partie à une succession non partagée. A cet égard, il convient de rappeler qu’en cas de succession indivise, la jurisprudence considère que la part dévolue à l’un des héritiers doit être prise en compte comme élément de fortune pour calculer le montant de la prestation complémentaire annuelle. Elle se fonde sur l’art. 560 al. 1 CC, qui prévoit que les héritiers acquièrent de plein droit l’universalité de la succession dès que celle-ci est ouverte. Dans ce contexte, le Tribunal fédéral a précisé que des difficultés relatives au partage de la succession ou à la réalisation des biens ne justifiaient pas de renoncer à prendre d’emblée en considération la part successorale revenant à l’héritier concerné (TF 9C_447/2016 du 1er mars 2017 consid. 4.2.2 ; TF 9C_999/2009 du 7 juin 2010 consid. 1.1). Même en admettant que le questionnaire de la demande de prestations complémentaires de 2017 ait été complété avec le concours d’un collaborateur de l’intimée, il ne fait aucun doute sur le fait qu'il devait être rempli en la présence du recourant et avec sa collaboration active. Dès lors que ce questionnaire constituait une invitation explicite à faire état de sa situation patrimoniale, le recourant ne pouvait donc ignorer le caractère incomplet des renseignements donnés. Alors que l’élément passé sous silence entraînait un important changement de sa situation matérielle, le recourant ne pouvait se contenter d’attendre une éventuelle interpellation de la Caisse quant à la production d’un justificatif.</w:t>
      </w:r>
    </w:p>
    <w:p>
      <w:r>
        <w:t>- 19 - En tout état de cause, le recourant perd de vue que les décisions successives d’octroi de prestations complémentaires comportaient une rubrique « votre obligation de renseigner » laquelle rendait l’assuré attentif à son obligation de communiquer sans retard notamment toute modification de son revenu ou fortune par suite d’héritage, donations, vente de biens mobiliers ou immobiliers et mentionnaient un montant nul à la rubrique « fortune immobilière ». Le recourant pouvait ainsi aisément s’apercevoir que l'existence d'un revenu supplémentaire était de nature à influencer son droit aux prestations complémentaires. Lors de la révision d’office du dossier en 2021, l’intimée a constaté que la décision de taxation fiscale 2020 ne correspondait pas à la déclaration fiscale 2016 dès lors que l’assuré était le propriétaire d’un bien immobilier et partie à une succession non partagée, élément que ce dernier aurait dû précisément annoncer dès 2017. Si la Caisse ne l’avait pas découvert, la situation aurait perduré. c) Sur le vu de ce qui précède, il incombait au recourant d’informer l’intimée des changements survenus dans sa situation matérielle (cf. art. 24 OPC-AVS-AI), ce qu’il n’a pas fait. En omettant d’annoncer ces éléments de fortune, et en l’absence de vérification adéquate des décisions successives d’octroi de prestations complémentaires, la négligence du recourant a revêtu un caractère de gravité suffisant pour exclure sa bonne foi, de sorte que l’une des conditions cumulatives prévues aux art. 25 al. 1 LPGA et 4 al. 1 OPGA pour autoriser la remise de l’obligation de restituer fait défaut. On relèvera à toutes fins utiles qu’il n’y a pas lieu d’examiner les éléments constitutifs des art. 146 al. 1 et 148 al. 1 CP, dès lors qu’ils ne trouvent pas application dans le cas d’espèce. Les deux conditions prévues par les art. 25 al. 1 LPGA et 4 al. 1 OPGA étant cumulatives, il n'est pas nécessaire d'examiner plus avant si l'obligation de restituer les indemnités réclamées par la Caisse mettrait le recourant dans une situation difficile.</w:t>
      </w:r>
    </w:p>
    <w:p>
      <w:r>
        <w:t>- 20 - d) En définitive, les conditions permettant la remise de l'obligation de restituer le montant de 34’114 fr. n'étant pas réalisées, l'intimée était fondée à rejeter la demande déposée en ce sens par le recourant. Le présent arrêt rend sans objet la requête d’effet suspensif. 8. Compte tenu de ce qui précède, on ne voit pas en quoi un complément d’instruction sous la forme d’une audition de témoins (Mmes [...] et [...], juristes auprès de l’intimée, ainsi que du Dr [...] du Service des maladies infectieuses du CHUV) permettrait d’apporter un éclairage différent de la situation, de sorte que la requête du recourant peut être écartée sur la base d’une appréciation anticipée des preuves (ATF 145 I 167 consid. 4.1 ; 140 I 285 consid. 6.3.1 ; 130 II 425 consid. 2.1). 9. a) En définitive, le recours doit être rejeté dans la mesure de sa recevabilité et la décision sur opposition litigieuse confirmée. b) Il n’y a pas lieu de percevoir de frais judiciaires (art. 61 let. fbis LPGA), ni d’allouer de dépens au recourant, qui n’obtient pas gain de cause (art. 61 let. g LPGA ; ATF 127 V 205 consid. 4b).</w:t>
      </w:r>
    </w:p>
    <w:p>
      <w:r>
        <w:rPr>
          <w:b/>
        </w:rPr>
        <w:t>E. 8</w:t>
      </w:r>
    </w:p>
    <w:p>
      <w:r>
        <w:t>le calcul réalisé par la caisse AVS et déterminant l’obligation de restituer le montant de 34'114.00 CHF soit totalement refait</w:t>
      </w:r>
    </w:p>
    <w:p>
      <w:r>
        <w:rPr>
          <w:b/>
        </w:rPr>
        <w:t>E. 9</w:t>
      </w:r>
    </w:p>
    <w:p>
      <w:r>
        <w:t>les nombreuses preuves présentées par l’administré et incompréhensiblement rejetées par l’autorité administrative soient retenues.</w:t>
      </w:r>
    </w:p>
    <w:p>
      <w:r>
        <w:rPr>
          <w:b/>
        </w:rPr>
        <w:t>E. 10</w:t>
      </w:r>
    </w:p>
    <w:p>
      <w:r>
        <w:t>il soit prononcé formellement que l’appréciation des faits et l’instruction réalisées par la caisse AVS sont défaillantes, incomplètes, partielles et illicites.” Invoquant des motifs d’économie de temps et de procédure, le recourant sollicite la jonction de la présente affaire avec les causes PC 38/23 et PC 41/23. Dans un premier grief d’ordre formel, il fait valoir que la décision sur opposition du 2 août 2023 n’est même pas signée, et est donc nulle « ex tunc » sans déployer aucun effet. Sur le fond, reprochant à l’intimée de s’être basée à tort sur le formulaire de demande complété en 2014, le recourant soutient que le document de demande de prestations complémentaires datant de 2017 atteste, en sa seconde page, qu’il avait renseigné la Caisse AVS sur ses séjours en Thaïlande qui étaient donc déjà connus en 2017, et que le membre de l’autorité en présence duquel ledit formulaire avait été rempli ne l’avait pas interrogé sur une hoirie ou une succession non partagée, ni même n’avait exigé la remise d’un justificatif quelconque. Reprenant la motivation développée à l’appui de son opposition, le recourant se prévaut de sa bonne foi en l’absence au dossier d’éléments permettant, à ses yeux, de déterminer sa situation économique au moment de l’octroi des prestations complémentaires depuis mai 2017. N’ayant pas connaissance de ses obligations envers la Caisse, il lui reproche d’avoir uniquement requis la production de la déclaration d’impôt 2016, d’une attestation d’indemnité journalière maladie et d’un justificatif démontrant la fin des rapports de travail. Il</w:t>
      </w:r>
    </w:p>
    <w:p>
      <w:r>
        <w:t>- 8 - allègue que la perception de prestations indues aurait pu être évitée si la Caisse avait respecté son devoir de contrôle. Le recourant estime avoir été induit en erreur par le comportement de cette dernière qui n’a pas instruit la question de sa situation et en particulier l’existence d’une hoirie ou succession non partagée en mai 2017. Il ajoute que le formulaire de demande de prestations complémentaires ne porte même pas sa signature et que la créance de la Caisse était prescrite au cours du mois de mai 2018, si bien que sa demande de restitution de prestations serait tardive, et partant illégale. Compte tenu des vices formels (absence du nom de famille, du prénom du requérant, de la date de naissance, de la signature etc.) affectant la formule de demande de prestations complémentaires complétée en 2017, il soutient que sa responsabilité n’est pas engagée. Il invoque également une situation socio-économique difficile au motif que la restitution de la somme exigée par la Caisse le condamnerait à une existence « plus que marginale ». En tout état de cause, il fait valoir qu’il était incapable de discernement lors des faits litigieux, à savoir au moment de compléter le formulaire de demande de prestations complémentaires en 2017, car il présentait déjà une situation médicale « clairement désespérée » (cancer, Sida, pathologies neurocognitives affectant également gravement sa mémoire, thérapies extrêmement lourdes) et une « déstabilisation totale au niveau psychologique » ; « complètement dévasté », il aurait été privé de ses facultés « psycho-physiques ». Il se base à cet effet sur un rapport du</w:t>
      </w:r>
    </w:p>
    <w:p>
      <w:r>
        <w:rPr>
          <w:b/>
        </w:rPr>
        <w:t>E. 12</w:t>
      </w:r>
    </w:p>
    <w:p>
      <w:r>
        <w:t>septembre 2017 du Dr[...] du Service des maladies infectieuses du CHUV, ainsi que sur un examen neuropsychologique du 3 août 2017 mettant en évidence des troubles cognitifs liés à une infection HIV probable (ralentissement de la vitesse de traitement, déficit de la mémoire de travail, dysfonctionnement exécutif et perturbation des habilités motrices). Le recourant soutient par conséquent que son incapacité de discernement est présumée, sans la nécessité d’être constatée par le biais d’une procédure devant la Justice de Paix. En définitive, il fait valoir qu’il ne peut lui être reproché, au cours de la procédure datant de 2017, d’avoir omis d’annoncer qu’il faisait partie d’une hoirie dès lors que le défaut d’annonce serait la conséquence des manquements de l’autorité administrative.</w:t>
      </w:r>
    </w:p>
    <w:p>
      <w:r>
        <w:t>- 9 - Dans sa réponse du 19 septembre 2023, la Caisse a conclu au rejet du recours et au maintien de la décision sur opposition attaquée. Dans sa réplique du 8 octobre 2023, le recourant a complété ses précédentes conclusions et étoffé son offre de preuves comme suit : “12. l’effet suspensif soit accordé à M. C.________ en relation à la totalité des procédures introduites auprès de la juridiction saisie et l’opposant à la caisse AVS.</w:t>
      </w:r>
    </w:p>
    <w:p>
      <w:r>
        <w:rPr>
          <w:b/>
        </w:rPr>
        <w:t>E. 13</w:t>
      </w:r>
    </w:p>
    <w:p>
      <w:r>
        <w:t>M. C.________ soit libéré de tout soupçon d’avoir violé l’art. 146 CP, l’art. 148 CP et l’art. 31 al. 1 let. a LPC [loi fédérale du 6 octobre 2006 sur les prestations complémentaires à l’AVS et à l’AI ; RS 831.30].</w:t>
      </w:r>
    </w:p>
    <w:p>
      <w:r>
        <w:rPr>
          <w:b/>
        </w:rPr>
        <w:t>E. 14</w:t>
      </w:r>
    </w:p>
    <w:p>
      <w:r>
        <w:t>une décision précisant que M. C.________ n’a pas commis d’infraction à l’art. 146 CP, l’art. 148 CP et l’art. 31 al. 1 let. a LPC soit rendue.</w:t>
      </w:r>
    </w:p>
    <w:p>
      <w:r>
        <w:rPr>
          <w:b/>
        </w:rPr>
        <w:t>E. 15</w:t>
      </w:r>
    </w:p>
    <w:p>
      <w:r>
        <w:t>M. C.________, par le biais de sa signature, s’engage personnellement à remettre au tribunal des documents à caractère médical qui le concernent directement et exprime ainsi son accord total quant à cette démarche, par lui fermement voulue.</w:t>
      </w:r>
    </w:p>
    <w:p>
      <w:r>
        <w:rPr>
          <w:b/>
        </w:rPr>
        <w:t>E. 16</w:t>
      </w:r>
    </w:p>
    <w:p>
      <w:r>
        <w:t>Conformément à la requête de la juridiction saisie, je demande la citation à comparaître en qualité de témoin de : a) Mme [...], service juridique AVS/AI, signature du courrier du 19 septembre 2023 de la partie intimée. b) [...], Cheffe de service PC AVS/AI et employée auprès de la caisse AVS, Rue des Moulins 3, 1800 Vevey, signataire du courrier du 19 septembre 2023 de la partie intimée. c) [...], docteur auprès du CHUV de Lausanne / service des maladies infectieuses, Rue du Bugnon 46, 1011 Lausanne […]” Contestant tout comportement répréhensible de sa part selon les art. 146 al. 1 et 148 al. 1 CP, le recourant fait valoir qu’en l’absence d’« indications trompeuses » ou d’agissement intentionnel de sa part et de sa signature sur la demande de prestations complémentaires de 2017, il n’est pas punissable pénalement en vertu de la LPC. Il répète que son incapacité de discernement est établie pour les actes qui lui sont reprochés et produit à cet effet un rapport du 31 août 2017 des médecins de la Consultation d’antibiothérapie parentérale de la [...] ([...]) consécutif à un séjour au sein de cette unité du 19 mai au 31 juillet 2017. Aux termes de sa duplique du 24 octobre 2023, l’intimée a une nouvelle fois conclu au rejet du recours.</w:t>
      </w:r>
    </w:p>
    <w:p>
      <w:r>
        <w:t>- 10 - E n d r o i t : 1. a) La LPGA (loi fédérale du 6 octobre 2000 sur la partie générale du droit des assurances sociales ; RS 830.1) est, sauf dérogation expresse, applicable aux prestations complémentaires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L’art. 24 al. 1 LPA-VD prévoit que l’autorité peut, d’office ou sur requête, joindre en une même procédure des affaires qui se rapportent à une situation de faits identique ou à une cause juridique commune. Dans la mesure où les causes PC 38/23 et PC 41/23 ont déjà fait l’objet d’arrêts séparés le 16 avril 2024, la requête de la jonction de ces affaires avec la présente cause est sans objet.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1a ; TF 9C_678/2011 du 4 janvier 2012 consid. 3.1 ; RCC 1985 p. 53). Dans le même sens, les conclusions qui vont au-delà de l’objet de la contestation, tel que défini</w:t>
      </w:r>
    </w:p>
    <w:p>
      <w:r>
        <w:t>- 11 - par la décision litigieuse, sont en principe irrecevables (ATF 142 I 155 consid. 4.4.2 ; 134 V 418 consid. 5.2.1). b) Le litige porte sur le refus de l’intimée de la remise de l’obligation, signifié au recourant, de restituer la somme de 34'114 fr., singulièrement sur le point de savoir si le recourant peut arguer de sa bonne foi afin de bénéficier d’une telle remise. Compte tenu de l’objet du litige tel que défini, les conclusions relatives à la suppression avec effet immédiat de document concernant la période précédente au 30 mai 2017 et à la reconnaissance de l’absence d’accord du recourant à la Caisse quant à la possibilité et au droit de conserver, d’enregistrer et de reproduire des documents, sont donc irrecevables. 3. a) Dans un premier grief de nature formelle, le recourant fait valoir que la décision sur opposition du 2 août 2023, confirmant le refus de l’intimée de la remise de l’obligation de restituer la somme de 34'114 fr., n’est même pas signée et est donc nulle « ex tunc » sans déployer aucun effet. b) Selon l’art. 49 al. 1 LPGA, l’assureur doit rendre par écrit les décisions qui portent sur des prestations, créances ou injonctions importantes ou avec lesquelles l’intéressé n’est pas d’accord. La prescription de l’art. 49 al. 1 LPGA selon laquelle les décisions doivent être écrites doit être comprise uniquement comme excluant les décisions orales (cf. TF 9C_597/2014 du 10 décembre 2014 consid. 4.3). Elle n’impose en revanche pas le respect de toutes les contingences de la forme écrite, en particulier l’exigence d’une signature manuscrite ; celle-ci n’est pas une condition de validité de la décision (TF 9C_597/2014 précité consid. 4.3). Cet assouplissement des exigences formelles est justifié par le caractère de masse de la procédure en matière d’assurances sociales. L’assureur peut ainsi par exemple, utiliser un formulaire préimprimé (TF 8C_434/2017 du 3 janvier 2018 consid. 5.2 ; VALÉRIE DÉFAGO GAUDIN in : DUPONT/MOSER-SZELESS [édit.], Commentaire romand, Loi sur la partie générale des assurances sociales, 2018, n. 17 ad</w:t>
      </w:r>
    </w:p>
    <w:p>
      <w:r>
        <w:t>- 12 - art. 49 LPGA). Au surplus, les décisions doivent indiquer la personne de leur auteur, celle de leur destinataire et être datées (DÉFAGO GAUDIN, op. cit., n. 39 ad art. 49 LPGA). c) En l’espèce, le grief du recourant selon lequel la décision sur opposition litigieuse serait nulle faute de signature manuscrite doit être rejeté dès lors qu’elle mentionne le nom de ses auteurs. 4. a) Une réforme du droit des prestations complémentaires impliquant la modification de nombreuses dispositions est entrée en vigueur au 1er janvier 2021 (FF 2016 7249 ; RO 2020 585). D’après les principes généraux en matière de droit transitoire, il y a lieu d’appliquer, en cas de changement de règles de droit et sauf réglementation transitoire contraire, les dispositions en vigueur lors de la réalisation de l’état de fait qui doit être apprécié juridiquement et qui a des conséquences juridiques (ATF 148 V 21 consid. 5.3 ; 138 V 176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