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ZH23.010124 vom 24. Oktober 2023</w:t>
      </w:r>
    </w:p>
    <w:p>
      <w:r>
        <w:t>VD Tribunal cantonal, 2023-10-24, FR</w:t>
      </w:r>
    </w:p>
    <w:p>
      <w:r>
        <w:rPr>
          <w:b/>
        </w:rPr>
        <w:t xml:space="preserve">Quelle: </w:t>
      </w:r>
      <w:r>
        <w:t>https://mcp.opencaselaw.ch/entscheid/vd_gerichte_ZH23.010124</w:t>
      </w:r>
    </w:p>
    <w:p>
      <w:r>
        <w:t>FR: VD_GERICHTE ZH23.010124 du 24 octobre 2023</w:t>
      </w:r>
    </w:p>
    <w:p>
      <w:r>
        <w:t>IT: VD_GERICHTE ZH23.010124 del 24 ottobre 2023</w:t>
      </w:r>
    </w:p>
    <w:p>
      <w:pPr>
        <w:pStyle w:val="Heading2"/>
      </w:pPr>
      <w:r>
        <w:t>Erwägungen</w:t>
      </w:r>
    </w:p>
    <w:p>
      <w:r>
        <w:rPr>
          <w:b/>
        </w:rPr>
        <w:t>E. 1</w:t>
      </w:r>
    </w:p>
    <w:p>
      <w:r>
        <w:t>a) La LPGA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point de savoir si le recourant s'est dessaisi d'éléments de fortune, respectivement sur le calcul de son droit aux prestations complémentaires pour la période du 1er octobre 2021 au 31 décembre 2022 et à compter du 1er janvier 2023 ainsi que sur la demande de restitution.</w:t>
      </w:r>
    </w:p>
    <w:p>
      <w:r>
        <w:t>- 5 -</w:t>
      </w:r>
    </w:p>
    <w:p>
      <w:r>
        <w:rPr>
          <w:b/>
        </w:rPr>
        <w:t>E. 3</w:t>
      </w:r>
    </w:p>
    <w:p>
      <w:r>
        <w:t>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b) Conformément à l’art. 11 al. 1 LPC, les revenus déterminants comprennent notamment le produit de la fortune mobilière et immobilière (let. b). Ils sont également constitués d'un quinzième de la fortune nette, un dixième pour les bénéficiaires de rentes de vieillesse, dans la mesure où elle dépasse 30'000 fr. pour les personnes seules, 50'000 fr. pour les couples et 15'000 fr. pour les orphelins et les enfants donnant droit à des rentes pour enfant de l’AVS ou de l’AI ; si le bénéficiaire de prestations complémentaires ou une autre personne comprise dans le calcul de ces prestations est propriétaire d’un immeuble qui sert d’habitation à l’une de ces personnes au moins, seule la valeur de l’immeuble supérieure à 112'500 fr. entre en considération au titre de la fortune (let. c). c) Selon l’art. 9a al. 1 let. a LPC, les personnes seules dont la fortune nette est inférieure à 100'000 fr. ont droit à des prestations complémentaires. Les parts de fortune visées à l’art. 11a, al. 2 à 4 LPC font partie de la fortune nette au sens de l’al. 1 (art. 9a al. 3 LPC). d) La fortune déterminante englobe tous les actifs que l’assuré a effectivement reçus et dont il peut disposer sans restriction, ceci sous réserve d’un dessaisissement de fortune. La fortune de l’assuré comprend ainsi tous ses biens mobiliers et immobiliers et les droits personnels et réels lui appartenant, l’origine des fonds étant à cet égard sans importance (ch. 3443.01 DPC [Directives de l’OFAS concernant les prestations complémentaires à l’AVS et à l’AI]). e) La part à une succession non partagée doit être prise en compte comme élément de fortune pour calculer le montant de la</w:t>
      </w:r>
    </w:p>
    <w:p>
      <w:r>
        <w:t>- 6 - prestation complémentaire annuelle, et ce dès l’ouverture de la succession (art. 560 al. 1 CC [Code civil suisse du 10 décembre 1907 ; RS 210]), soit au décès du de cujus (art. 537 al. 1 CC). Le fait de rencontrer des difficultés pour procéder au partage ne justifie pas de déroger à cette règle. Pour autant, la prise en compte de la part d’une succession non partagée ne peut avoir lieu que lorsqu’il est possible de déterminer avec clarté l’étendue de cette part ou, dans l’hypothèse où cette part ne peut pas être chiffrée de manière exacte, lorsqu’il est possible, compte tenu de l’ensemble des éléments de fait et de droit, d’exclure avec certitude un droit à des prestations complémentaires. Par « part à une succession non partagée », il faut entendre la part à laquelle peut prétendre l’héritier concerné au moment de la dissolution de la communauté héréditaire et de la liquidation du patrimoine commun. La clarté sur l’étendue de la part successorale présuppose – outre les principaux actifs et passifs concernés – que tous les héritiers ainsi que leur part respective à la succession soient connus (TF 9C_447/2016 du 1er mars 2017 consid. 4.2.2 ; TF 9C_999/2009 du 7 juin 2010 consid. 1.1). f) Aux termes de l’art. 11a al. 1 LPC, si une personne renonce volontairement à exercer une activité lucrative que l’on pourrait raisonnablement exiger d’elle, le revenu hypothétique correspondant est pris en compte comme revenu déterminant. La prise en compte de ce revenu est réglée par l’art. 11 al. 1 let. a LPC. Les autres revenus, parts de fortune et droits légaux ou contractuels auxquels l’ayant droit a renoncé sans obligation légale et sans contre-prestation adéquate sont pris en compte dans les revenus déterminants comme s’il n’y avait pas renoncé (art. 11a al. 2 LPC). Un dessaisissement de fortune est également pris en compte si, à partir de la naissance d’un droit à une rente de survivant de l’AVS ou à une rente de l’AI, plus de 10 % de la fortune est dépensée par année sans qu’un motif important ne le justifie. Si la fortune est inférieure ou égale à 100 000 francs, la limite est de 10 000 francs par année. Le Conseil fédéral règle les modalités ; il définit en particulier la notion de « motif important » (art. 11a al. 3 LPC).</w:t>
      </w:r>
    </w:p>
    <w:p>
      <w:r>
        <w:t>- 7 -</w:t>
      </w:r>
    </w:p>
    <w:p>
      <w:r>
        <w:rPr>
          <w:b/>
        </w:rPr>
        <w:t>E. 4</w:t>
      </w:r>
    </w:p>
    <w:p>
      <w:r>
        <w:t>a) L’ayant droit doit communiquer sans retard à l’organe cantonal compétent tout changement dans la situation personnelle et toute modification sensible dans sa situation matérielle (art. 24 OPC- AVS/AI [ordonnance sur les prestations complémentaires à l’assurance- vieillesse, survivants et invalidité ; RS 831.201] ; art. 31 al. 1 LPGA). Pour qu’il y ait violation de l’obligation de renseigner, il faut qu’il y ait un comportement fautif ; une légère négligence suffit déjà (ATF 112 V 97 consid. 2a ; TF 9C_400/2016 du 2 novembre 2016 consid. 3.3). Lorsque l’obligation de renseigner a été violée, l'adaptation des prestations complémentaires à la modification des circonstances personnelles ou économiques peut conduire à une obligation de l'intéressé de restituer des prestations perçues à tort (art. 25 al. 2 let. d OPC-AVS/AI ; ATF 138 V 298 consid. 5.2.1 ; TF 9C_328/2014 du 6 août 2014 consid. 5.2 ; voir également ATF 145 V 141 consid. 7.3). En dehors de l’éventualité de la violation de l’obligation de renseigner, la jurisprudence a admis que l’ayant droit est tenu à restitution lorsque les conditions de l’art. 25 LPGA sont réunies (TF 9C_328/2014 du 6 août 2014 consid. 5.3). b)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c) Selon l’art. 53 al. 1 LPGA, les décisions formellement passées en force sont soumises à révision si l’assuré ou l’assureur découvre subséquemment des faits nouveaux importants ou trouve des nouveaux moyens de preuve qui ne pouvaient être produits auparavant. Sont « nouveaux » au sens de cette disposition, les faits qui se sont produits jusqu’au moment où, dans la procédure principale, des</w:t>
      </w:r>
    </w:p>
    <w:p>
      <w:r>
        <w:t>- 8 - allégations de faits étaient encore recevables, mais qui n’étaient pas connus du requérant malgré toute sa diligence. d)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140 V 77 consid. 3.1 ; 138 V 147 ; 119 V 475 consid. 5b/cc).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115 V 308 consid. 4a/cc). e) Aux termes de l’art. 25 al. 2 LPGA, le droit de demander la restitution de prestations indûment touchées s’éteint trois ans après le moment où l’institution d’assurance a eu connaissance du fait, mais au plus tard cinq ans après le versement de la prestation. Si la créance naît d’un acte punissable pour lequel le droit pénal prévoit un délai plus long, celui-ci est déterminant. Il s’agit de délais (relatif et absolu) de péremption, qui doivent être examinés d’office (ATF 140 V 521 consid. 2.1).</w:t>
      </w:r>
    </w:p>
    <w:p>
      <w:r>
        <w:rPr>
          <w:b/>
        </w:rPr>
        <w:t>E. 5</w:t>
      </w:r>
    </w:p>
    <w:p>
      <w:r>
        <w:t>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w:t>
      </w:r>
    </w:p>
    <w:p>
      <w:r>
        <w:t>- 9 - procès (ATF 119 V 347 consid. 1). En outre, si le principe inquisitoire dispense les parties de l'obligation de prouver, il ne les libère pas du fardeau de la preuve, dans la mesure où, en cas d'absence de preuve, c'est à la partie qui voulait en déduire un droit d'en supporter les conséquences (ATF 139 V 176 consid. 5.2 et les références citées).</w:t>
      </w:r>
    </w:p>
    <w:p>
      <w:r>
        <w:rPr>
          <w:b/>
        </w:rPr>
        <w:t>E. 6</w:t>
      </w:r>
    </w:p>
    <w:p>
      <w:r>
        <w:t>En l'espèce, le recourant explique que sa religion lui a imposé de refuser la succession de son épouse. En réplique, il allègue également que, dans la mesure où il n'a pas touché la succession de son épouse, il n'y a pas lieu d'en tenir compte à quel titre que ce soit dans le calcul de son droit aux prestations complémentaires. a) Le recourant entend justifier le dessaisissement par des motifs de croyance religieuse. b) Selon l’art. 15 Cst. (Constitution fédérale de la Confédération suisse du 18 avril 1999 ; RS 101), la liberté de conscience et de croyance est garantie (al. 1) ; toute personne a le droit de choisir librement sa religion ainsi que de se forger ses convictions philosophiques et de les professer individuellement ou en communauté (al. 2) ; toute personne a le droit d'adhérer à une communauté religieuse ou d'y appartenir et de suivre un enseignement religieux (al. 3) ; nul ne peut être contraint d'adhérer à une communauté religieuse ou d'y appartenir, d'accomplir un acte religieux ou de suivre un enseignement religieux (al. 4). c) La liberté de conscience et de croyance protège le citoyen de toute ingérence de l'Etat qui serait de nature à gêner ses convictions religieuses (pour plus de détails : cf. ATF 142 I 49 consid. 3.2 et 3.3 ; 123 I 296 consid. 2b/aa). Elle confère au citoyen le droit d'exiger que l'Etat n'intervienne pas de façon injustifiée en édictant des règles limitant l'expression et la pratique de ses convictions religieuses (ATF 118 Ia 46 consid. 3b). Elle protège toutes les religions, quel que soit le nombre de leurs fidèles en Suisse (ATF 142 I 49 consid. 3.4 ; 139 I 280 consid. 4.1 ; 123 I 296 consid. 2b/aa).</w:t>
      </w:r>
    </w:p>
    <w:p>
      <w:r>
        <w:t>- 10 - d) Les droits fondamentaux ont avant tout une fonction de défense contre les atteintes causées par l'État (cf. ATF 144 I 50 consid. 4.1 ; 138 I 225 consid. 3.5 ; 135 I 113 consid. 2.1) et peuvent également fonder un devoir étatique de protection contre des atteintes provoquées par des tiers (cf. ATF 146 IV 76 consid. 4.2 ; 126 II 300 consid. 5a). Un droit à une prestation positive de l'État ne peut en principe pas être déduit directement des droits fondamentaux ; un tel droit ne peut tout au plus exister qu'exceptionnellement et de façon ponctuelle (cf. ATF 138 I 225 consid. 3.5 ; TF 8C_308/2022 du 18 août 2022, consid. 5.2.1). e) En l'occurrence, le recourant n'expose pas en quoi sa liberté de conscience et de croyance (art. 15 Cst.) serait touchée par la décision attaquée. L'assuré demeure libre de choisir sa religion et se forger ses convictions, respectivement d'appartenir à une communauté religieuse. Il n’incombe cependant pas à l'intimée, respectivement à la collectivité publique, de soutenir financièrement le recourant par l'octroi de prestations complémentaires alors qu’il a fait le choix, dicté par sa religion, de répudier la succession de son épouse. Les prestations complémentaires ont pour finalité de soutenir les rentiers de l'AVS et de l'AI qui sont confrontés à un excédent de dépenses et, le cas échéant de rembourser les frais médicaux. Dans un tel cadre, il n'existe pas d’exception liée à la religion permettant de renoncer à tenir compte d'une fortune dessaisie. Les raisons qui ont poussé le recourant à répudier la succession de son épouse ne constituent pas une obligation légale au sens de l'art. 11a al. 2 LPC et aucun élément au dossier ne permet de conclure que le recourant a renoncé à la succession en question en touchant une contre-prestation, sous quelque forme que ce soit. f) Ainsi, l'intimée était fondée à prendre en compte la part du recourant sur la succession de feue B.K.________ à titre de fortune dessaisie dans le calcul du droit aux prestations complémentaires du recourant.</w:t>
      </w:r>
    </w:p>
    <w:p>
      <w:r>
        <w:t>- 11 -</w:t>
      </w:r>
    </w:p>
    <w:p>
      <w:r>
        <w:rPr>
          <w:b/>
        </w:rPr>
        <w:t>E. 7</w:t>
      </w:r>
    </w:p>
    <w:p>
      <w:r>
        <w:t>Si le principe de la prise en compte de la part successorale du recourant en tant que fortune dessaisie est admis, reste à en déterminer l'étendue. a) En réplique, le recourant plaide que les calculs de l'intimée relatifs à la part de la succession qui lui est dévolue sont incorrects. b) Cette argumentation est bien fondée. En effet, selon l'art. 462 ch. 1 CC, le conjoint ou le partenaire enregistré survivant a droit, en concours avec les descendants, à la moitié de la succession. Etant donné que le couple [...] a trois enfants, dont un seul a accepté la succession, le recourant était en concours avec un descendant et n’aurait effectivement eu droit qu’à la moitié de la succession de son épouse, soit 62'694 francs (125'388 fr. / 2) et non aux trois quarts comme retenu par la Caisse (soit une fortune dessaisie de 94'041 francs). Contrairement à ce qu'avance l'intimée, la nature du régime matrimonial qui liait les époux n'a aucune influence sur la quote-part du recourant, la liquidation du régime matrimonial (art. 204 et ss. CC) précédant celle de la succession (ATF 107 II 119 consid. 2d ; TF 5A_662/2010 du 15 février 2011, consid. 4). En l’espèce, il résulte de l’information donnée le 14 octobre 2022 par l’autorité fiscale l’existence de titres et créances à hauteur de 125'388 fr. en faveur de la défunte et aucun montant n’est indiqué en faveur de son conjoint. Le recourant ne fait pas valoir de créances en liquidation du régime matrimonial qui aurait dû être déduite de l’actif successoral. Ainsi, si la masse successorale nette s'élève effectivement à 125'388 fr., le recourant en a droit à la moitié. Il existe ainsi un écart considérable entre les montants retenus par la Caisse, et le montant effectif de la fortune dessaisie. Un tel écart est propre à influer sur le droit aux prestations complémentaires du recourant. En effet, le montant de l'excédent de dépenses au sens de l'art. 9 al. 1 LPC, décisif pour fixer le montant de la prestation complémentaire, est appelé à sensiblement augmenter, ce qui laisse entrevoir un droit aux prestations complémentaires pour le recourant dès le 1er janvier 2023 ainsi que l'adaptation du montant soumis à restitution.</w:t>
      </w:r>
    </w:p>
    <w:p>
      <w:r>
        <w:t>- 12 - c) Sur le vu de ce qui précède, il y a lieu d’annuler la décision sur opposition attaquée et de renvoyer la cause à l’intimée afin qu’elle procède à un nouveau calcul du droit aux prestations complémentaires du recourant à compter du 1er octobre 2021 et du montant réclamé à titre de restitution, en tenant compte des considérations qui précèdent.</w:t>
      </w:r>
    </w:p>
    <w:p>
      <w:r>
        <w:rPr>
          <w:b/>
        </w:rPr>
        <w:t>E. 8</w:t>
      </w:r>
    </w:p>
    <w:p>
      <w:r>
        <w:t>Le recourant a demandé le bénéfice de l'assistance judiciaire et la désignation d'un avocat d'office. En l’occurrence, le recourant a été en mesure de recourir en temps utile, et de se déterminer dans le cadre d’un double échange d’écritures. On ne voit pas quel argument supplémentaire un conseil d’office aurait pu faire valoir, dans la mesure où le recourant a exposé son point de vue de façon limpide quant aux motifs l’ayant conduit à répudier la succession de son épouse, respectivement son désaccord quant au calcul de la fortune dessaisie.</w:t>
      </w:r>
    </w:p>
    <w:p>
      <w:r>
        <w:rPr>
          <w:b/>
        </w:rPr>
        <w:t>E. 9</w:t>
      </w:r>
    </w:p>
    <w:p>
      <w:r>
        <w:t>a) En définitive, le recours, en tant qu’il porte sur le droit du recourant à des prestations complémentaires, doit être partiellement admis, la décision sur opposition attaquée annulée et la cause renvoyée à l’intimée afin qu’elle procède, en tenant compte des considérations émises au considérant 7 du présent arrêt, à un nouveau calcul du droit aux prestations complémentaires à compter du 1er octobre 2021 ainsi qu’à un nouveau calcul du montant réclamé à titre de restitution. b) Il n’y a pas lieu de percevoir de frais judiciaires, la loi spéciale ne le prévoyant pas (art. 61 let. f bis LPGA), ni d’allouer de dépens, le recourant ayant procédé sans mandataire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