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ZH22.000500 vom 23. Juni 2022</w:t>
      </w:r>
    </w:p>
    <w:p>
      <w:r>
        <w:t>VD Tribunal cantonal, 2022-06-23, FR</w:t>
      </w:r>
    </w:p>
    <w:p>
      <w:r>
        <w:rPr>
          <w:b/>
        </w:rPr>
        <w:t xml:space="preserve">Quelle: </w:t>
      </w:r>
      <w:r>
        <w:t>https://mcp.opencaselaw.ch/entscheid/vd_gerichte_ZH22.000500</w:t>
      </w:r>
    </w:p>
    <w:p>
      <w:r>
        <w:t>FR: VD_GERICHTE ZH22.000500 du 23 juin 2022</w:t>
      </w:r>
    </w:p>
    <w:p>
      <w:r>
        <w:t>IT: VD_GERICHTE ZH22.000500 del 23 giugno 2022</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 c) Vu la valeur litigieuse inférieure à 30’000 fr., la cause est de la compétence du juge unique (art. 94 al. 1 let. a LPA-VD).</w:t>
      </w:r>
    </w:p>
    <w:p>
      <w:r>
        <w:rPr>
          <w:b/>
        </w:rPr>
        <w:t>E. 2</w:t>
      </w:r>
    </w:p>
    <w:p>
      <w:r>
        <w:t>Le litige porte sur le montant des prestations complémentaires auquel le recourant a droit à partir du 1er décembre 2021, singulièrement sur la prise en compte dans les revenus et la fortune de la part du recourant dans une indivision successorale à la suite du décès de ses parents en 2010 et 2011. La question du calcul rétroactif des prestations complémentaires depuis 2011 et de la restitution des prestations qui auraient été perçues en trop ne fait en revanche pas l’objet du présent litige.</w:t>
      </w:r>
    </w:p>
    <w:p>
      <w:r>
        <w:rPr>
          <w:b/>
        </w:rPr>
        <w:t>E. 3</w:t>
      </w:r>
    </w:p>
    <w:p>
      <w:r>
        <w:t>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Les dépenses reconnues sont énumérées à l’art. 10 LPC. c) Conformément à l’art. 11 al. 1 LPC, les revenus déterminants comprennent notamment : -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 un quinzième de la fortune nette, un dixième pour les bénéficiaires de rentes de vieillesse, dans la mesure où elle dépasse 30'000 fr.</w:t>
      </w:r>
    </w:p>
    <w:p>
      <w:r>
        <w:t>- 7 - pour les personnes seules, 50'000 fr. pour les couples et 15'000 fr. pour les orphelins et les enfants donnant droit à des rentes pour enfant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 les rentes, pensions et autres prestations périodiques, y compris les rentes de l’AVS et de l’AI (let. d).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La part de la succession indivise qui revient à un héritier est prise en compte dès l’ouverture de la succession, pour autant que sa valeur puisse être évaluée avec suffisamment de précision (TF 9C_447/2016 du 1er mars 2017 consid. 4.3 ; ch. 3443.04 DPC et les références citées ; voir également ATF 146 V 331 consid. 5.4 in fine).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(TF 9C_751/2018 du 16 avril 2019 consid. 6.2 ; ch. 3443.07 DPC). S’agissant de l’évaluation de la fortune, l’art. 17a al. 4 OPC- AVS/AI (ordonnance du 15 janvier 1971 sur les prestations complémentaires à l’assurance-vieillesse, survivants et invalidité ; RS 831.301) prévoit que lorsque des immeubles ne servent pas d’habitation</w:t>
      </w:r>
    </w:p>
    <w:p>
      <w:r>
        <w:t>- 8 - au requérant ou à une personne comprise dans le calcul de la prestation complémentaire, ils seront pris en compte à la valeur vénale. Cette disposition s’applique également aux biens-fonds (ch. 3444.02 DPC). Quant aux immeubles sis à l’étranger, on peut se fonder sur une estimation établie à l’étranger s’il n’est pas raisonnablement possible de procéder à une autre estimation (ch. 3444.03 DPC).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Les loyers et fermages doivent, en principe, être pris en compte pour leur montant contractuel. Toutefois, lorsque le loyer est inférieur à celui qui est usuellement pratiqué dans la région, c’est ce dernier qui doit être pris en compte. Il en va de même dans les cas où aucun loyer n’a été convenu, ou dans les cas où l’immeuble est vide alors même qu’une location serait possible (TF 9C_751/2018 du 16 avril 2019 consid. 7.2 ; ch. 3433.03 DPC). d)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La nouvelle décision doit porter effet dès le début du mois au cours duquel le changement a été annoncé, mais au plus tôt à partir du</w:t>
      </w:r>
    </w:p>
    <w:p>
      <w:r>
        <w:t>- 9 -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voir également ATF 145 V 141 consid. 7.3).</w:t>
      </w:r>
    </w:p>
    <w:p>
      <w:r>
        <w:rPr>
          <w:b/>
        </w:rPr>
        <w:t>E. 4</w:t>
      </w:r>
    </w:p>
    <w:p>
      <w:r>
        <w:t>a) Il convient en premier lieu de préciser que le fait que le recourant détienne l’héritage de ses parents en indivision avec ses frères et sœurs ne s’oppose nullement à la prise en compte des éléments de fortune de cet héritage. Le recourant a en effet la possibilité de sortir de l’indivision en retirant sa part de fortune mobilière et en cédant sa part immobilière, ou en demandant le partage de la succession (cf. sur les possibilités de sortir d’une indivision en France : https://www.economie.gouv.fr/particuliers/heritage-succession-indivision). En outre, comme cela va être démontré ci-dessous, la valeur de la part de succession indivise du recourant peut en l’occurrence être établie avec suffisamment de précision. b) Le fait que les biens de la succession se trouvent à l’étranger ne s’oppose pas non plus à leur prise en compte en l’occurrence. Au vu des possibilités mentionnées ci-dessus, ces éléments de fortune peuvent être réalisés pour ce qui concerne les immeubles et retirés s’agissant de la part de liquidités se trouvant sur un compte en banque. L’argent émanant de ces opérations pourra ensuite être transféré de la France à la Suisse. Il n’existe donc pas d’exception à la prise en compte des éléments de fortune situés en France. c) Le recourant ne conteste pas, en tant que tels, les montants retenus par la CCVD pour l’évaluation de sa fortune.</w:t>
      </w:r>
    </w:p>
    <w:p>
      <w:r>
        <w:t>- 10 - Il faut relever que c’est de manière erronée que la CCVD se réfère à l’art. 17a al. 1 OPC-AVS/AI, selon lequel la fortune prise en compte doit être évaluée selon les règles de la législation sur l’impôt cantonal direct du canton du domicile. Cette disposition ne s’applique en effet que lorsque les immeubles et biens-fonds servent d’habitation à un bénéficiaire de prestations complémentaires ou à une personne prise en compte dans le calcul de la prestations complémentaires (ATF 126 V 83 consid. 2a), ce qui n’est pas le cas en l’espèce. Il convient en l’espèce, en application de l’art. 17a al. 4 OPC- AVS/AI de prendre en compte la valeur vénale des immeubles et biens- fonds, ou éventuellement une estimation établie à l’étranger s’il n’est pas raisonnablement possible de procéder à une autre estimation (ch. 3444.03 DPC). Dans ce contexte, il est tout à fait possible, comme l’a fait l’intimée en l’occurrence, de se fonder sur la valeur des immeubles sis à l’étranger retenue par l’autorité fiscale dans la décision de taxation. Celle-ci, fixée à 64'000 fr. pour la part du recourant, n’apparaît pas critiquable. d) Le recourant fait valoir que l’héritage ne lui a jamais rapporté un centime, au motif que son frère ne paie aucun loyer pour la maison ni pour le terrain. C’est apparemment à bien plaire que les héritiers ont renoncé à encaisser un loyer pour l’immeuble occupé par l’un d’entre eux ; le recourant n’allègue en tout cas pas d’impossibilité relevant de la loi ou des dispositions testamentaires sur ce point. Il n’appartient donc pas à la collectivité de supporter l’absence de perception de loyer. Il apparaît, à la lecture du ch. 3433.03 DPC, que c’est plutôt le loyer usuellement pratiqué dans la région pour ce type d’objet qui devrait être pris en compte, plutôt que la valeur locative. Or pour des raisons de simplifications administratives, l’intimée s’est basée sur les règles fiscales en la matière et a retenu le 6 % de la valeur de la part des biens immobiliers appartenant au recourant. Dans la mesure où celui-ci ne conteste pas le montant retenu à titre de valeur locative, il est dans le cas d’espèce admissible de retenir ce montant.</w:t>
      </w:r>
    </w:p>
    <w:p>
      <w:r>
        <w:t>- 11 - e) Le recourant fait valoir qu’une personne de l’Agence d’assurances sociales lui a dit que « les plafonds pour percevoir les Prestations complémentaires étaient de 37'500 CHF pour les avoirs bancaires et de 100'000 CHF pour la propriété immobilière ». Il se prévaut du fait que sa part de fortune immobilière, d’un montant de 64'000 fr., ne dépasse pas la limite de 100'000 francs. Découlant directement de l’art. 9 Cst. (Constitution fédérale de la Confédération suisse du 18 avril 1999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141 V 530 consid. 6.2 ; 131 II 627 consid. 6.1 et les références citées). En l’occurrence, il faut tout d’abord relever que l’on n’est pas en présence d’un renseignement donné dans la situation particulière du recourant, mais qu’il s’agit d’informations générales sur les prestations complémentaires qui lui ont été transmises. Le plafond de 100'000 fr. dont le recourant se prévaut n’est en outre pas erroné, si ce n’est qu’il concerne l’ensemble de la fortune et non uniquement la fortune immobilière. Le nouvel art. 9a al. 1 let. a LPC, entré en vigueur le 1er janvier 2021, prévoit en effet que les personnes seules ne peuvent</w:t>
      </w:r>
    </w:p>
    <w:p>
      <w:r>
        <w:t>- 12 - percevoir des prestations complémentaires que si leur fortune nette ne dépasse pas 100'000 francs. Il s’agit, comme le recourant l’indique lui- même, d’un plafond, au-delà duquel l’octroi de prestations complémentaires n’est pas possible. On ne saurait en déduire, lorsque la fortune est inférieure à 100'000 fr., qu’il n’y a pas lieu de tenir compte de la fortune immobilière pour le calcul des prestations complémentaires d’un assuré. Quoi qu’il en soit, même dans l’hypothèse où un renseignement erroné aurait été donné au recourant, il n’apparaît pas que celui-ci l’a induit à prendre des dispositions auxquelles il ne saurait renoncer sans subir de préjudice. Le recourant ne peut par conséquent se prévaloir de la protection de la bonne foi pour que l’héritage reçu ne soit pas pris en considération dans le calcul de ses prestations complémentaires. f) Le recourant fait valoir qu’avec la baisse de ses prestations complémentaires, à hauteur de 751 fr., il n’aura pas de quoi vivre décemment et que la contrariété liée à cette situation lui a causé des ennuis de santé. Comme cela ressort des considérants qui précèdent, le recourant a la possibilité de récupérer la part d’héritage qui lui revient en sortant de l’indivision, ou de procéder à la vente d’un ou des biens en indivision en accord avec ses frères et sœurs, ou encore de percevoir un loyer de son frère qui habite la maison et utilise le terrain comme jardin. g) C’est dès lors à bon droit que la CCVD a procédé à un nouveau calcul des prestations complémentaires du recourant à partir du 1er décembre 2021 en prenant en compte la fortune qu’il détient en indivision dans le cadre de l’héritage, ainsi que les revenus de cette fortune. Le calcul fait par la CCVD n’est pas contesté en tant que tel et peut être confirmé. h) Le recourant se plaint qu’à la suite de la procédure d’opposition, la CCVD a décidé d’engager une autre procédure en vue de</w:t>
      </w:r>
    </w:p>
    <w:p>
      <w:r>
        <w:t>- 13 - la restitution de prestations complémentaires dont il a bénéficié depuis le décès de son père en octobre 2011. Contrairement à ce que laisse entendre le recourant, il ne s’agit pas d’une réaction de la CCVD à l’opposition qu’il a déposée. Même s’il ne s’était pas opposé au nouveau calcul de ses prestations à partir de décembre 2021, la CCVD était tenue, en application des art. 17 al. 2 LPGA et 25 al. 1 et 2 let. d OPC-AVS/AI de procéder, de manière rétroactive, à un nouveau calcul des prestations complémentaires auxquelles le recourant avait droit, depuis l’acquisition de l’héritage.</w:t>
      </w:r>
    </w:p>
    <w:p>
      <w:r>
        <w:rPr>
          <w:b/>
        </w:rPr>
        <w:t>E. 5</w:t>
      </w:r>
    </w:p>
    <w:p>
      <w:r>
        <w:t>a) Le recours doit par conséquent être rejeté.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20 décembre 2021 par la Caisse cantonale vaudoise de compensation AVS est confirmée. III. Il n’est pas perçu de frais judiciaires, ni alloué de dépens. La juge unique : La greffière : Du</w:t>
      </w:r>
    </w:p>
    <w:p>
      <w:r>
        <w:t>- 14 - L'arrêt qui précède est notifié à : - M.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