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ZH21.053234 vom 31. August 2022</w:t>
      </w:r>
    </w:p>
    <w:p>
      <w:r>
        <w:t>VD Tribunal cantonal, 2022-08-31, FR</w:t>
      </w:r>
    </w:p>
    <w:p>
      <w:r>
        <w:rPr>
          <w:b/>
        </w:rPr>
        <w:t xml:space="preserve">Quelle: </w:t>
      </w:r>
      <w:r>
        <w:t>https://mcp.opencaselaw.ch/entscheid/vd_gerichte_ZH21.053234</w:t>
      </w:r>
    </w:p>
    <w:p>
      <w:r>
        <w:t>FR: VD_GERICHTE ZH21.053234 du 31 août 2022</w:t>
      </w:r>
    </w:p>
    <w:p>
      <w:r>
        <w:t>IT: VD_GERICHTE ZH21.053234 del 31 agosto 2022</w:t>
      </w:r>
    </w:p>
    <w:p>
      <w:pPr>
        <w:pStyle w:val="Heading2"/>
      </w:pPr>
      <w:r>
        <w:t>Erwägungen</w:t>
      </w:r>
    </w:p>
    <w:p>
      <w:r>
        <w:rPr>
          <w:b/>
        </w:rPr>
        <w:t>E. 1</w:t>
      </w:r>
    </w:p>
    <w:p>
      <w:r>
        <w:t>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- 5 - c) Vu la valeur litigieuse inférieure à 30’000 fr., la cause est de la compétence du juge unique (art. 94 al. 1 let. a LPA-VD).</w:t>
      </w:r>
    </w:p>
    <w:p>
      <w:r>
        <w:rPr>
          <w:b/>
        </w:rPr>
        <w:t>E. 2</w:t>
      </w:r>
    </w:p>
    <w:p>
      <w:r>
        <w:t>Le principe de la restitution de la somme de 22'718 fr. représentant le montant des indemnités indûment perçues individuellement par le recourant entre les mois d’août 2016 et janvier 2021 a été tranché de manière définitive par décisions – demeurées sans opposition – du 1er avril 2021. Seule demeure litigieuse la question de savoir si le recourant peut obtenir la remise de son obligation de restituer.</w:t>
      </w:r>
    </w:p>
    <w:p>
      <w:r>
        <w:rPr>
          <w:b/>
        </w:rPr>
        <w:t>E. 3</w:t>
      </w:r>
    </w:p>
    <w:p>
      <w:r>
        <w:t>a) Selon l’art. 31 al. 1 LPGA, l’ayant droit, ses proches ou les tiers auxquels une prestation est versée sont tenus de communiquer à l’assureur ou, selon le cas, à l’organe compétent toute modification importante des circonstances déterminantes pour l’octroi d’une prestation. Pour les prestations complémentaires de droit fédéral, cette règle est énoncée à l’art. 24 OPC-AVS/AI (ordonnance du 15 janvier 1971 sur les prestations complémentaires à l’assurance-vieillesse, survivants et invalidité ; RS 831.301), selon lequel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(TF 6B_791/2013 du 3 mars 2014 consid. 3.1.1 ; 9C_384/2010 du 15 mars 2011 consid. 3.2). La violation de l’obligation de communiquer toute modification importante des circonstances déterminantes pour l’octroi d’une prestation est sanctionnée par le biais de l’obligation de restitution fondée sur l’art. 25 al. 1 LPGA (ATF 143 V 241 consid. 4.6). b) 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w:t>
      </w:r>
    </w:p>
    <w:p>
      <w:r>
        <w:t>- 6 - c)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 112 V 97 consid. 2c ; 110 V 176 consid. 3c). d) Il y a négligence grave quand un ayant droit ne se conforme pas à ce qui peut raisonnablement être exigé d'une personne capable de discernement dans une situation identique et dans les mêmes circonstances (ATF 110 V 176 précité consid. 3d ; TF 8C_557/2021 du 17 février 2022 consid. 4). La bonne foi doit être niée quand l’enrichi pouvait, au moment du versement, s’attendre à son obligation de restituer, parce qu’il savait ou devait savoir, en faisant preuve de l’attention requise, que la prestation était indue (ATF 130 V 414 consid. 4.3 ; TF 9C_384/2010 du 15 mars 2011 consid. 3.1).</w:t>
      </w:r>
    </w:p>
    <w:p>
      <w:r>
        <w:rPr>
          <w:b/>
        </w:rPr>
        <w:t>E. 4</w:t>
      </w:r>
    </w:p>
    <w:p>
      <w:r>
        <w:t>a) En l’occurrence, rien au dossier ne permet de retenir, au degré de vraisemblance prépondérante, que le recourant (ou son épouse) a cherché à informer la caisse intimée qu’il avait fait l’acquisition de studios à Martigny. On en veut notamment pour preuve le courrier d’opposition contre une décision du 16 octobre 2015 que l’épouse du recourant a adressé à la caisse intimée en date du 27 octobre 2015, dans lequel cette dernière s’est expressément abstenue de toute mention des biens immobiliers acquis en Valais, se limitant à faire état de la charge hypothécaire et des frais pour l’entretien liés au seul appartement commun de Renens. Dans un courrier du 26 septembre 2016 adressé à la</w:t>
      </w:r>
    </w:p>
    <w:p>
      <w:r>
        <w:t>- 7 - caisse intimée, l’épouse du recourant ne fait également à aucun moment mention des appartements valaisans. En particulier, il n’y a pas lieu de tenir compte du courrier du 26 octobre 2015 que le recourant a produit dans le cadre de la procédure d’opposition, l’envoi de ce courrier – dont on ne trouve aucune trace dans le dossier de l’intimée – n’ayant pas été établi formellement par le recourant. Au contraire, il y a lieu d’émettre de sérieux doutes quant à l’envoi effectif de ce courrier par le recourant. A la lecture du dossier, il apparaît en effet que la seule et unique interlocutrice de la caisse intimée jusqu’au mois d’avril 2016 était l’épouse du recourant (en sa qualité de bénéficiaire principale des prestations complémentaires versées au couple jusqu’au moment de leur séparation) ; aussi, le fait que le recourant se soit adressé à cette époque personnellement à la caisse intimée apparaît pour le moins insolite et, dès lors, peu vraisemblable. A la vue des décisions rendues en faveur du recourant à compter du mois de septembre 2016 (pièces 65, 75, 90, 103, 109 et 117), il y a par ailleurs lieu de constater que l’erreur était aisément identifiable. Une simple lecture de ces décisions aurait permis au recourant de se rendre compte que la charge hypothécaire de 186'000 fr. prise en considération ne pouvait concerner que l’appartement de Renens (prêt hypothécaire de 372'000 fr. / 2) et que ce montant était sans commune mesure avec la dette globale relative aux trois biens immobiliers (629'700 fr. au 31 décembre 2019). De même, le recourant ne pouvait pas partir de l’idée, faute d’informations claires en ce sens, que les décisions de taxation fiscale rendues dans l’intervalle par l’Administration cantonale des impôts étaient automatiquement communiquées à la caisse intimée. Il lui appartenait à tout le moins de vérifier que tel était vraiment le cas, étant précisé qu’un tel fait ne le libérait pas pour autant de son obligation d’annoncer tout changement dans sa situation. Quant à l’attestation établie le 15 décembre 2021 par le Département de psychiatrie du CHUV, d’après laquelle le recourant</w:t>
      </w:r>
    </w:p>
    <w:p>
      <w:r>
        <w:t>- 8 - présentait d’importantes difficultés à gérer ses affaires administratives et vérifier ses décomptes, il n’y a pas lieu de lui prêter une attention particulière, les faits mentionnés ne permettant pas de déterminer la nature des troubles dont souffre le recourant et leur évolution dans le temps. b) Sur le vu de ce qui précède, il n’est pas contestable que le recourant a omis d’informer la caisse intimée qu’il avait fait l’acquisition de studios à Martigny. Le recourant ne pouvait pas à l’évidence ignorer que le changement de situation influençait le droit aux prestations complémentaires tout au long de la période litigieuse. Ce manquement ne peut être considéré comme étant de peu de gravité, dans la mesure où la caisse intimée a été empêchée d’établir des décisions de prestations complémentaires conformes au droit. Le comportement du recourant doit par conséquent être qualifié de négligence grave, ce qui exclut de pouvoir retenir une quelconque bonne foi de sa part. c) Cela étant constaté, il n’y a pas lieu d’examiner plus avant la question de savoir si la restitution mettrait le recourant dans une situation financière difficile. d) En définitive, les conditions permettant la remise de l’obligation de restituer le montant de 22'718 fr. n’étant pas réalisées, la caisse intimée était fondée à rejeter la demande déposée en ce sens par le recourant.</w:t>
      </w:r>
    </w:p>
    <w:p>
      <w:r>
        <w:rPr>
          <w:b/>
        </w:rPr>
        <w:t>E. 5</w:t>
      </w:r>
    </w:p>
    <w:p>
      <w:r>
        <w:t>a) Sur le vu de ce qui précède, le recours doit être rejeté et la décision sur opposition attaquée confirmée. b) Il n’y a pas lieu de percevoir de frais judiciaires (art. 61 let. fbis LPGA), ni d’allouer de dépens au recourant, qui n’obtient pas gain de cause (art. 61 let. g LPGA). c) Le recourant est au bénéfice de l’assistance judiciaire. Me Yann Oppliger peut prétendre une équitable indemnité pour son mandat</w:t>
      </w:r>
    </w:p>
    <w:p>
      <w:r>
        <w:t>- 9 - d’office. Après examen de la liste des opérations déposée le 13 juillet 2022, compte tenu de l’importance et de la complexité du litige, il convient d’arrêter l’indemnité à 2'595 fr. 30, débours et TVA compris (art. 2, 3 al. 1 et 3bis RAJ [règlement cantonal du 7 décembre 2010 sur l’assistance judiciaire en matière civile ; BLV 211.02.3]). d) Le recourant est rendu attentif au fait qu’il devra rembourser l’indemnité provisoirement prise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Par ces motifs, le juge unique p r o n o n c e :</w:t>
      </w:r>
    </w:p>
    <w:p>
      <w:r>
        <w:t>- 10 - I. Le recours est rejeté. II. La décision sur opposition rendue le 16 novembre 2021 par la Caisse cantonale vaudoise de compensation AVS est confirmée. III. Il n’est pas perçu de frais judiciaires, ni alloué de dépens. IV. L’indemnité d’office de Me Yann Oppliger, conseil du recourant, est arrêtée à 2'595 fr. 30 (deux mille cinq cent nonante-cinq francs et trente centimes), débours et TVA compris. V. Le bénéficiaire de l’assistance judiciaire est, dans la mesure de l’art. 123 CPC applicable par renvoi de l’art. 18 al. 5 LPA-VD, tenu au remboursement de l’indemnité du conseil d’office mise à la charge de l’Etat. Le juge unique : Le greffier :</w:t>
      </w:r>
    </w:p>
    <w:p>
      <w:r>
        <w:t>- 11 - Du L'arrêt qui précède est notifié à : - Me Yann Oppliger (pour A.R.________),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