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ZH21.039149 vom 2. März 2023</w:t>
      </w:r>
    </w:p>
    <w:p>
      <w:r>
        <w:t>VD Tribunal cantonal, 2023-03-02, FR</w:t>
      </w:r>
    </w:p>
    <w:p>
      <w:r>
        <w:rPr>
          <w:b/>
        </w:rPr>
        <w:t xml:space="preserve">Quelle: </w:t>
      </w:r>
      <w:r>
        <w:t>https://mcp.opencaselaw.ch/entscheid/vd_gerichte_ZH21.039149</w:t>
      </w:r>
    </w:p>
    <w:p>
      <w:r>
        <w:t>FR: VD_GERICHTE ZH21.039149 du 2 mars 2023</w:t>
      </w:r>
    </w:p>
    <w:p>
      <w:r>
        <w:t>IT: VD_GERICHTE ZH21.039149 del 2 marzo 2023</w:t>
      </w:r>
    </w:p>
    <w:p>
      <w:pPr>
        <w:pStyle w:val="Heading2"/>
      </w:pPr>
      <w:r>
        <w:t>Erwägungen</w:t>
      </w:r>
    </w:p>
    <w:p>
      <w:r>
        <w:rPr>
          <w:b/>
        </w:rPr>
        <w:t>E. 1</w:t>
      </w:r>
    </w:p>
    <w:p>
      <w:r>
        <w:t>l’immeuble de 460 m2, valant € 115'000.-, est enregistré au cadastre au nom de votre mère seule sous le no [...], selon l’attestation du 22.02.2008;</w:t>
      </w:r>
    </w:p>
    <w:p>
      <w:r>
        <w:rPr>
          <w:b/>
        </w:rPr>
        <w:t>E. 2</w:t>
      </w:r>
    </w:p>
    <w:p>
      <w:r>
        <w:t>a) Le litige porte sur le montant des prestations complémentaires auxquelles la recourante peut prétendre dès le 1er novembre 2020, singulièrement sur la détermination des montants de fortune et de revenus à prendre en considération dans le calcul du droit aux prestations. b) Une réforme du droit des prestations complémentaires impliquant la modification de nombreuses dispositions est entrée en vigueur au 1er janvier 2021 (FF 2016 7249 ; RO 2020 585).</w:t>
      </w:r>
    </w:p>
    <w:p>
      <w:r>
        <w:t>- 15 -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 En l’occurrence, la recourante s’est opposée, en date du 4 décembre 2020, à une décision du 13 novembre 2020 de la Caisse relative à l’octroi de PC dès le 1er novembre 2020. La Caisse a ensuite rendu une décision sur opposition le 23 juillet 2021. L’état de fait déterminant porte ainsi sur une période antérieure à l’entrée en vigueur, le 1er janvier 2021, des modifications du 22 mars 2019 de la LPC et il y a dès lors lieu d’appliquer l'ancien droit, ce que les parties admettent malgré une argumentation confuse de la recourante sur cette question. Les dispositions légales et les directives applicables seront donc citées ci- après dans leur teneur en vigueur jusqu'au 31 décembre 2020.</w:t>
      </w:r>
    </w:p>
    <w:p>
      <w:r>
        <w:rPr>
          <w:b/>
        </w:rPr>
        <w:t>E. 3</w:t>
      </w:r>
    </w:p>
    <w:p>
      <w:r>
        <w:t>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w:t>
      </w:r>
    </w:p>
    <w:p>
      <w:r>
        <w:t>- 16 - b) Selon l’art. 11 al. 1 let. c LPC, les revenus déterminants comprennent un dixième de la fortune nette pour les bénéficiaires de rentes de vieillesse, dans la mesure où elle dépasse 37’500 fr. pour les personnes seules.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ainsi tous ses biens mobiliers et immobiliers et les droits personnels et réels lui appartenant, l’origine des fonds étant à cet égard sans importance (ch. 3443.01 DPC ; Michel Valterio, Commentaire de la loi fédérale sur les prestations complémentaires à l’AVS et à l’AI, Genève/Zurich/Bâle 2015, n° 43 ad art. 11 LPC). S’agissant de l’évaluation de la fortune, l’art. 17 al. 4 OPC- 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3444.03 DPC). Selon le ch. 3443.04 DPC, la part de la succession indivise qui revient à un héritier est prise en compte dès l’ouverture de la succession, pour autant que sa valeur puisse être évaluée avec suffisamment de précision. c) Les revenus déterminants comprennent également le produit de la fortune mobilière et immobilière (art. 11 al. 1 let. b LPC). Le revenu de la fortune immobilière comprend les loyers et fermages, l’usufruit, le droit d’habitation, ainsi que la valeur locative du</w:t>
      </w:r>
    </w:p>
    <w:p>
      <w:r>
        <w:t>- 17 - logement de l’assuré dans son propre immeuble, pour autant que cette valeur ne soit pas déjà comprise dans son revenu d’une activité lucrative (ch. 3433.01 DPC).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lors même qu’une location serait possible (ch. 3433.03 DPC). d) Sont pris en compte en règle générale pour le calcul de la prestation complémentaire annuelle, les revenus déterminants obtenus au cours de l’année civile précédente et l’état de la fortune le 1er janvier de l’année pour laquelle la prestation est servie (art. 23 al. 1 OPC-AVS/AI).</w:t>
      </w:r>
    </w:p>
    <w:p>
      <w:r>
        <w:rPr>
          <w:b/>
        </w:rPr>
        <w:t>E. 4</w:t>
      </w:r>
    </w:p>
    <w:p>
      <w:r>
        <w:t>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 TF 9C_189/2015 du 11 septembre 2015 consid. 5.1).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w:t>
      </w:r>
    </w:p>
    <w:p>
      <w:r>
        <w:rPr>
          <w:b/>
        </w:rPr>
        <w:t>E. 5</w:t>
      </w:r>
    </w:p>
    <w:p>
      <w:r>
        <w:t>a) En l’espèce, la recourante a conclu à ce que sa fortune immobilière, et, partant la valeur locative, soient fixées à 0 fr. du moment qu’elle n’était propriétaire d’aucun bien au [...]. On peut déjà relever à cet égard que la Caisse s’est toujours fondée sur les affirmations de la recourante, puis de son fils qui n’ont cessé d’évoluer. En effet, la recourante a tout d’abord indiqué, tant dans sa demande de prestations du 31 octobre 2008 que dans celle du 28 janvier 2010, disposer d’un bien</w:t>
      </w:r>
    </w:p>
    <w:p>
      <w:r>
        <w:t>- 18 - immobilier à l’étranger. A l’appui de sa demande de 2008, elle a produit un bordereau d’impôt foncier 2008 à son nom mentionnant un bien immobilier d’une surface de 460 m2 d’une valeur de 115'000 euros, ainsi qu’un certificat du cadastre au nom de feu son mari relatif à une parcelle de 317 m2 à R.________. Ensuite, elle n’a pas contesté les décisions des 8 mars 2010, 29 décembre 2010, 30 novembre 2012, 28 décembre 2012 et du 29 décembre 2014 tenant compte d’une fortune immobilière à hauteur de 174'000 fr. et d’une valeur locative de 10'445 fr. qu’elle avait elle- même indiquée dans sa demande de prestations du 28 janvier 2010. Bien plus, son fils a, en date du 21 septembre 2016, attesté de la véracité de ces informations dans le cadre d’une révision périodique des dossiers par la Caisse. Par décision du 30 décembre 2016, la Caisse a accordé un octroi partiel à la recourante en tenant à nouveau compte d’une fortune immobilière de 174'000 fr. sans que cette décision ne soit contestée. Ce n’est qu’après avoir reçu les décisions du 26 janvier 2017 que la recourante, par son fils, s’est opposée à la prise en compte d’un montant de 174'000 fr. en alléguant n’être propriétaire que d’un cinquième du bien. On doit relever ici qu’il est faux d’invoquer les lacunes du fils de la recourante dès lors que celui-ci a su contester les décisions précitées. Après interpellation, le fils a expliqué que le document du 22 février 2008 concernait les taxes foncières en lien avec l’immeuble, que la surface de 317 m2 mentionnée dans l’attestation du 24 novembre 2008 correspondait au terrain et que la valeur totale de l’ensemble était de 115'000 euros. A ce moment-là, le fils de l’assurée n’a pas nié que sa mère était propriétaire d’une partie du bien immobilier, ni d’ailleurs la valeur de ce bien. Aussi, la Caisse a, par décisions du 16 juin 2017, rectifié ses décisions antérieures en prenant un compte un cinquième du montant de 174'000 fr., soit 34'800 fr. et a restitué un montant de 83'840 fr. à la recourante. Ces décisions n’ont pas été contestées, pas plus que celles des 23 juin 2017 et 31 décembre 2018 prenant en compte un montant de 83'840 fr. à titre de fortune mobilière, de 34'800 fr. à titre de fortune immobilière et de 2'089 fr. à titre de valeur locative. Ce n’est qu’en décembre 2020 que la recourante, toujours par son fils, a contesté la décision du 13 novembre 2020 de la Caisse prenant en compte les mêmes montants en alléguant n’être propriétaire d’aucun bien au [...]. Comme</w:t>
      </w:r>
    </w:p>
    <w:p>
      <w:r>
        <w:t>- 19 - justification, son fils s’est contenté d’indiquer, dans son courrier du 22 janvier 2021, que l‘information selon laquelle sa mère était propriétaire du bien pour un cinquième était « une information erronée, donnée sans preuve et documentation du [...] » et le certificat de non possession du 17 avril 2016 prouvait l’absence d’une quelconque propriété de sa mère. Or ce certificat avait déjà été produit en 2016 sans que la recourante ne s’en prévale pour justifier de la non-propriété du bien, à juste titre d’ailleurs. De plus, on ne voit pas pourquoi la recourante serait mentionnée comme contribuable sur les bordereaux d’impôt foncier de 2008 et 2016 si elle n’était pas propriétaire. Ainsi, il est plus que vraisemblable qu’elle soit propriétaire, voire co-propriétaire du bien appartenant à feu son mari. Même s’il n’est pas impossible que la recourante ait vendu ou donné sa part de copropriété, cette possibilité n’est toutefois corroborée par aucune pièce du dossier. En effet, dans son courrier du 22 janvier 2021, le fils de la recourante s’est contenté de laisser le soin à la Caisse de faire le nécessaire de son côté pour déterminer la propriété du bien sis au [...], malgré un devoir de collaboration des parties (cf. art. 43 al. 3 LPGA). On peut signaler à cet égard que même l’experte qui a rédigé le rapport d’estimation du bien immobilier du 30 août 2021 a relevé que la documentation relative à la partie juridique de la propriété mise à disposition n’était pas complète. Enfin, le certificat de cadastre du 24 août 2021 et le certificat de non possession de propriété du 25 août 2021 produits à l’appui du recours ne sont en réalité que des copies de ceux produits en 2008 et 2016 ne justifiant en rien les arguments de non- propriété de la recourante. Au vu de ce qui précède, on ne peut que constater que la recourante a échoué à établir qu’elle ne serait propriétaire d’aucun bien immobilier et il y a dès lors lieu de retenir qu’elle est copropriétaire pour un cinquième de l’immeuble sis au [...]. On peut encore relever que le fait que l’immeuble soit en copropriété, voire dans une succession indivise, ne fait pas obstacle à leur prise en considération au titre de fortune pour le calcul des prestations complémentaires. Le ch. 3443.04 DPC prévoit en</w:t>
      </w:r>
    </w:p>
    <w:p>
      <w:r>
        <w:t>- 20 - effet expressément que la part de la succession indivise qui revient à un héritier doit être prise en compte dès l’ouverture de la succession, pour autant que sa valeur puisse être évaluée avec suffisamment de précision. b) S’agissant de l’évaluation de la valeur de l’immeuble, la recourante a produit, à l’appui de son recours, un rapport du 30 août 2021 estimant la parcelle de 317 m2 et le bâtiment d’habitation à un total de 65'000 euros, montant dont la Caisse admet la prise en compte à un taux de change de 1.0787, soit 70'115 fr. (cf. p. 7 de la réponse du 15 novembre 2021). Il y a ainsi lieu d’admettre, comme l’intimée, que la part de la recourante soit fixée à (70'115 fr. : 5 =) 14'023 francs. c) Enfin, la recourante a contesté la prise en compte d’un montant correspondant à 6 % de la valeur vénale calculé à titre de valeur locative. En effet, pour des raisons de simplifications administratives, l’intimée s’est basée sur les règles fiscales en la matière et a retenu le 6 % de la valeur de la part du bien immobilier appartenant à la recourante. Cependant, compte tenu du fait que la recourante ne vit pas dans l’immeuble dont elle est co-propriétaire mais que les héritiers de feu son mari (cf. p. 3 du rapport d’évaluation du 30 août 2021) y habitent sans qu’un loyer n’ait été convenu, la valeur locative devrait être déterminée sur la base du loyer qui est usuellement pratiqué dans la région (cf. ch. 3433.03 DPC). Or en l’espèce, il convient de constater que l’intimée est prête à retenir un montant annuel de 841 fr. à titre de valeur locative (6 % x 14'023 fr.) (cf. p. 8 de sa réponse du 15 novembre 2021), nettement inférieur aux montants de 150 à 200 euros par mois et de 1'800 à 2'400 euros par année dont se prévaut la recourante, par son fils, dans son courrier du 31 mars 2017. La recourante n’a par ailleurs produit aucun document de nature à étayer que la prise en compte d’une valeur locative calculée sur la base du loyer usuellement pratiqué lui serait plus favorable dans le calcul de la prestation complémentaire. A cet égard, l’intimée s’est dite disposée à réexaminer sa décision si la recourante démontrait que la prise en compte d’un loyer au profit de la valeur locative lui était plus favorable. Or, selon toute vraisemblance, tel n’est pas le cas. Il convient dès lors d’admettre le montant de 841 fr., plus favorable à la recourante,</w:t>
      </w:r>
    </w:p>
    <w:p>
      <w:r>
        <w:t>- 21 - comme produit de la fortune immobilière au sens de l’art. 11 al. 1 let. b LPC.</w:t>
      </w:r>
    </w:p>
    <w:p>
      <w:r>
        <w:rPr>
          <w:b/>
        </w:rPr>
        <w:t>E. 6</w:t>
      </w:r>
    </w:p>
    <w:p>
      <w:r>
        <w:t>S’agissant de la fortune mobilière, on peut déjà relever que, contrairement à ce que soutient la recourante, l’intimée n’a pas retenu une consommation excessive de la fortune comme le prévoit le nouveau droit mais a au contraire appliqué l’art. 11 al. 1 let. g LPC selon lequel les revenus déterminants pour calculer le montant de la prestation complémentaire annuelle comprennent les ressources et parts de fortune dont un ayant droit s’est dessaisi. a) Par dessaisissement, il faut entendre, en particulier, la renonciation à des éléments de revenu ou de fortune sans obligation juridique ni contre-prestation équivalente (ATF 134 I 65 consid. 3.2 ; 131 V 329 consid. 4.2). Il n’existe pas de limite temporelle à la prise en compte d’un dessaisissement dès lors qu’une telle mesure vise justement à éviter l’octroi abusif de prestations complémentaires (ATF 120 V 182 consid. 4f ; TF 9C_846/2010 du 12 août 2011 consid. 4.2.2). On pourra ainsi notamment tenir compte d'un dessaisissement intervenu depuis longtemps (TF 9C_198/2010 du 9 août 2010 consid. 3.2 et les références).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(ATF 123 V 35 consid. 2a ; Michel Valterio, op. cit. , n° 99 ad art. 11 LPC, p. 169). L’assuré qui</w:t>
      </w:r>
    </w:p>
    <w:p>
      <w:r>
        <w:t>- 22 -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Valterio, op. cit., n. 99 ad art. 11 LPC).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op. cit., n. 102 ad art. 11 LPC). Si l’assuré ne peut rendre vraisemblable que ses dépenses ont été effectuées moyennant contre-prestation adéquate, il ne peut se prévaloir d’une baisse correspondante de sa fortune ; il doit donc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conformément à l'art. 17a al. 1 OPC- AVS/AI (ordonnance du 15 janvier 1971 sur les prestations complémentaires à l’assurance-vieillesse, survivants et invalidité ; RS 831.301). Selon l'al. 2 de cette disposition, la valeur de la fortune au moment du dessaisissement doit être reportée telle quelle au 1er janvier de l'année suivant celle du dessaisissement, pour être ensuite réduite chaque année. Ainsi, on présume que l'ayant droit, à supposer qu'il ne se</w:t>
      </w:r>
    </w:p>
    <w:p>
      <w:r>
        <w:t>- 23 -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b) En l’espèce, la Caisse a versé à titre rétroactif le montant de 83'840 fr. à la recourante pour la période du 1er janvier 2013 au 30 juin 2017 et a considéré que ce montant constituait de la fortune mobilière qui devait être prise en compte. Sur ce montant, elle a déduit un montant de 20'285 fr. à titre de diminution de fortune justifiée et a retenu que la recourante aurait dû avoir, au 1er novembre 2020, un montant de [83'840 fr. – 20'285 fr. =] 63'555 fr. sur son compte bancaire alors que celui-ci présentait un solde de 15'348 fr. au 31 décembre 2019. Aussi, l’intimée a ajouté fictivement le montant de [63'555 fr. – 15'348 fr. =] 48'207 fr. dans le calcul des PC de l’assurée, ce que cette dernière a contesté en faisant valoir que le versement rétroactif était intervenu en raison d’une analyse erronée de la Caisse et que si celle-ci lui avait versé chaque mois les PC depuis 2013 comme elle aurait dû le faire, les montants auraient été dépensés progressivement et n’auraient pas été considérés comme de la fortune. Il est pour le moins audacieux de prétendre que ce montant a été versé en raison d’une analyse erronée de la Caisse. En effet, il faut rappeler que celle-ci s’est fondée sur les déclarations de la recourante et de son fils qui n’ont cessé d’évoluer pour arriver à la conclusion qu’elle n’était en réalité propriétaire que d’un cinquième du bien sis au [...]. La Caisse a alors immédiatement corrigé les décisions antérieures, ce qui a abouti au versement du montant de 83'840 francs. Du moment que l’origine des fonds constituant la fortune tout comme les raisons pour lesquelles l’épargne a été constituée sont sans importance (cf. consid. 3c), c’est à juste titre que la Caisse a pris en compte ce montant. La recourante soutient cependant que ce montant a servi à couvrir ses besoins vitaux sans toutefois en apporter la preuve. En effet, au stade de la procédure devant la Caisse, le fils de la recourante a refusé de produire</w:t>
      </w:r>
    </w:p>
    <w:p>
      <w:r>
        <w:t>- 24 - le relevé du compte BCV au nom de sa mère au motif qu’il en coûtait 250 francs. Il est toutefois surprenant que le relevé demandé par la Caisse ne puisse être produit pour des questions de coût alors même que la recourante a produit un relevé de son compte du 1er au 31 août 2021 dans le cadre de son recours. On peut de plus s’interroger sur la manière dont a été géré l’argent versé à la recourante au vu de la succession des différents comptes bancaires utilisés pour recevoir ces versements. S’agissant des pièces produites dans le cadre du recours, notamment des décomptes de prestations de l’assurance-maladie, des relevés des frais médicaux, le détail des primes de l’assurance-maladie et des notes de crédit et factures établies par le CMS, force est de constater que ces pièces ne démontrent pas que ces frais auraient été effectivement payés par le fils pour le compte de sa mère. De plus, aucun décompte des frais engagés n’a été fourni par la recourante. Par ailleurs, la Caisse a relevé à juste titre qu’une partie des frais allégués auraient pu être pris en compte par le remboursement des frais de maladie selon les décisions rendues. En outre, on peut suivre la Caisse lorsqu’elle a tenu compte du dessaisissement sur deux ans et non pas depuis 2013. Enfin, c’est à juste titre que la Caisse a estimé que le cas d’espèce n’était pas transposable à l’arrêt du Tribunal cantonal des assurances sociales de Genève du 11 mars 2008 puisque le fils de la recourante a continué à exercer une activité lucrative et qu’il faisait ménage commun avec sa mère. En définitive, le calcul de la fortune mobilière de la recourante par l’intimée peut être suivi. Il convient cependant de prendre en compte le forfait de 10'000 fr. prévu par l’art. 17a al. 1 OPC AVS/AI et de réduire le montant retenu de 25'000 fr. (5'000 fr. pour la moitié de 2017, 10'000 fr. en 2018 et 10'000 fr. en 2019), comme l’a d’ailleurs admis l’intimée (cf. p.</w:t>
      </w:r>
    </w:p>
    <w:p>
      <w:r>
        <w:rPr>
          <w:b/>
        </w:rPr>
        <w:t>E. 9</w:t>
      </w:r>
    </w:p>
    <w:p>
      <w:r>
        <w:t>de sa réponse du 15 novembre 2021). Ainsi, il appartiendra à cette dernière de procéder à un nouveau calcul des PC de la recourante prenant en compte la déduction précitée.</w:t>
      </w:r>
    </w:p>
    <w:p>
      <w:r>
        <w:t>- 25 - 7. a) Compte tenu de ce qui précède, le recours est partiellement admis et la cause renvoyée à l’intimée pour nouveau calcul dans le sens des considérants, puis pour nouvelle décision. b) Il n’y a pas lieu de percevoir de frais judiciaires (art. 61 let. fbis LPGA). c) La recourante,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 Dans la mesure où ces dépens ne couvrent pas l'intégralité des frais de représentation du défenseur d'office, il convient encore de fixer la rémunération de Me Tracy Salamin. Cette dernière a produit deux listes de ses opérations le 24 janvier 2022, pour un total de 17 heures et 50 minutes, respectivement de 4 heures 50. Contrôlées au regard de la présente procédure, ces listes doivent toutefois être réduites dans la mesure où le nombre d’heures facturé ne peut pas être entièrement admis. Ainsi, 14 heures et 5 minutes ont été comptabilisées pour la rédaction et l’envoi du recours auprès de la cour de céans, ce qui est excessif pour la rédaction d’une telle écriture dont on évalue en général la durée entre 2 et 8 heures. Au regard de la longueur du recours, soit 26 pages, on peut prendre en compte la durée maximale précitée, soit 8 heures, à laquelle on ajoutera le reste des opérations mentionnées dans la première liste des opérations, soit 3 heures et 45 minutes, pour un total de</w:t>
      </w:r>
    </w:p>
    <w:p>
      <w:r>
        <w:rPr>
          <w:b/>
        </w:rPr>
        <w:t>E. 11</w:t>
      </w:r>
    </w:p>
    <w:p>
      <w:r>
        <w:t>heures et 45 minutes. Quant à la deuxième liste des opérations, il paraît tout aussi excessif de comptabiliser 3 heures 45 de prestations d’avocat pour la rédaction de la réplique qu’il convient ainsi de réduire à 1 heures et 45 minutes et d’ajouter aux deux autres opérations de la liste, soit [1 heures et 45 minutes + 20 minutes + 45 minutes =] 2 heures et 50</w:t>
      </w:r>
    </w:p>
    <w:p>
      <w:r>
        <w:t>- 26 - minutes. Dans ces conditions, il convient de fixer à [11 heures et 45 minutes + 2 heures et 50 minutes =] 14 heures 35 le temps nécessaire à l’exécution du mandat confié. Ainsi, compte tenu du tarif horaire de 180 fr. pour l’activité d’avocat (art. 2 al. 1 let. a et b RAJ), l’indemnité d’office s’élève à 2’625 fr., à laquelle s’ajoutent les débours fixés forfaitairement à 131 fr. 25 (art. 3bis al. 1 RAJ) et la TVA au taux de 7,7 % par 212 fr. 25. L’indemnité d’office en faveur de Me Salamin s’élève par conséquent à 2'968 fr. 50. Cette indemnité étant partiellement couverte par les dépens à hauteur de 1'500 fr., le solde de 1’468 fr. 50 est provisoirement supporté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