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ZH20.023804 vom 5. Oktober 2021</w:t>
      </w:r>
    </w:p>
    <w:p>
      <w:r>
        <w:t>VD Tribunal cantonal, 2021-10-05, FR</w:t>
      </w:r>
    </w:p>
    <w:p>
      <w:r>
        <w:rPr>
          <w:b/>
        </w:rPr>
        <w:t xml:space="preserve">Quelle: </w:t>
      </w:r>
      <w:r>
        <w:t>https://mcp.opencaselaw.ch/entscheid/vd_gerichte_ZH20.023804</w:t>
      </w:r>
    </w:p>
    <w:p>
      <w:r>
        <w:t>FR: VD_GERICHTE ZH20.023804 du 5 octobre 2021</w:t>
      </w:r>
    </w:p>
    <w:p>
      <w:r>
        <w:t>IT: VD_GERICHTE ZH20.023804 del 5 ottobre 2021</w:t>
      </w:r>
    </w:p>
    <w:p>
      <w:pPr>
        <w:pStyle w:val="Heading2"/>
      </w:pPr>
      <w:r>
        <w:t>Erwägungen</w:t>
      </w:r>
    </w:p>
    <w:p>
      <w:r>
        <w:rPr>
          <w:b/>
        </w:rPr>
        <w:t>E. 1</w:t>
      </w:r>
    </w:p>
    <w:p>
      <w:r>
        <w:t>La Cour des assurances sociales doit statuer à nouveau dans cette affaire, à la suite de l'arrêt de renvoi du Tribunal fédéral du 10 juin 2020.</w:t>
      </w:r>
    </w:p>
    <w:p>
      <w:r>
        <w:rPr>
          <w:b/>
        </w:rPr>
        <w:t>E. 2</w:t>
      </w:r>
    </w:p>
    <w:p>
      <w:r>
        <w:t>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n’avait pas respecté le droit d’être entendue de la recourante, en ne lui offrant pas la possibilité de s’exprimer à propos de la question de la réalisation éventuelle de l’infraction d’escroquerie ; ce faisant, il a annulé l’arrêt que la Cour de céans avait rendu le 5 décembre 2019, sans examiner toutefois le fond de l’affaire. Conformément au jugement de renvoi du Tribunal fédéral, occasion a été donnée à la recourante de s’exprimer par écrit, ce qu’elle a fait dans ses déterminations des 15 décembre 2020 et 4 février 2021. Au vu des explications données, la Cour de céans a jugé nécessaire de compléter l’instruction et requis la production des déclarations et taxations fiscales de la recourante relatives aux années 2011, 2012, 2013, 2014 et 2015.</w:t>
      </w:r>
    </w:p>
    <w:p>
      <w:r>
        <w:rPr>
          <w:b/>
        </w:rPr>
        <w:t>E. 3</w:t>
      </w:r>
    </w:p>
    <w:p>
      <w:r>
        <w:t>A titre liminaire, il convient d’examiner si les pièces recueillies par la Cour de céans dans le cadre de la présente procédure de renvoi sont recevables et peuvent être prises en considération dans le cadre de l’appréciation des preuves.</w:t>
      </w:r>
    </w:p>
    <w:p>
      <w:r>
        <w:t>- 13 - a) Le recours devant le tribunal cantonal des assurances est une voie de droit ordinaire possédant un effet dévolutif complet : un recours présenté dans les formes requises a pour effet de transférer à la juridiction cantonale la compétence de statuer sur la situation juridique objet de la décision attaquée. Conformément à la maxime inquisitoire applicable (art. 61 let. c de la loi fédérale du 6 octobre 2000 sur la partie générale du droit des assurances sociales [LPGA ; RS 830.1]), il appartient alors à l'autorité de recours d'établir d'office l'ensemble des faits déterminants pour la solution du litige et d'administrer, le cas échéant, les preuves nécessaires (ATF 127 V 228 consid. 2b/aa ; voir également TF 9C_403/2010 du 31 décembre 2010 consid. 3.1). b) Selon l’art. 110 de la loi fédérale du 14 décembre 1990 sur l’impôt fédéral direct (LIFD ; RS 642.11), les personnes chargées de l’application de la loi ou qui y collaborent doivent garder le secret sur les faits dont elles ont connaissance dans l’exercice de leur fonction ainsi que sur les délibérations des autorités et refuser aux tiers la consultation des dossiers fiscaux (al. 1). Des renseignements peuvent être communiqués dans la mesure où une base légale de droit fédéral le prévoit expressément (al. 2 ; voir également l’art. 39 al. 1 de la loi fédérale du 14 décembre 1990 sur l’harmonisation des impôts directs des cantons et des communes [LHID ; RS 642.14]). c) En vertu de l’art. 32 al. 1 LPGA,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 fixer ou modifier des prestations, ou encore en réclamer la restitution (let. a) ; prévenir des versements indus (let. b) ; fixer et percevoir les cotisations (let. c) ; faire valoir une prétention récursoire contre le tiers responsable (let. d). d) En l’occurrence, il ne fait aucun doute que l’intimée peut, dans le cadre de ses attributions, requérir des autorités fiscales les renseignements nécessaires afin de prévenir les versements indus (cf.</w:t>
      </w:r>
    </w:p>
    <w:p>
      <w:r>
        <w:t>- 14 - art. 32 al. 1 let. b LPGA). Dans ces conditions, la Cour de céans, en tant qu’elle connaît des recours conformément à l’art. 57 LPGA, peine à concevoir qu’elle ne puisse pas, dans le cadre de la maxime inquisitoire applicable, requérir auprès des mêmes autorités les mêmes renseignements que les organes des assurances sociales. La thèse contraire reviendrait à restreindre la capacité du tribunal cantonal des assurances à établir les faits pertinents de la cause, ce qui ne correspond nullement à la volonté du législateur telle qu’exprimée à l’art. 61 let. c LPGA. Aussi convient-il d’admettre que le principe posé à l’art. 32 al. 1 LPGA est applicable par analogie au tribunal cantonal des assurances. Au surplus, il convient de souligner, comme le Tribunal fédéral a déjà eu l’occasion de le relever, que l’intérêt public à empêcher les abus dans l’assurance prime l’intérêt de la personne concernée à ce que le moyen de preuve ne soit pas exploité (cf. ATF 143 I 377 consid. 5).</w:t>
      </w:r>
    </w:p>
    <w:p>
      <w:r>
        <w:rPr>
          <w:b/>
        </w:rPr>
        <w:t>E. 4</w:t>
      </w:r>
    </w:p>
    <w:p>
      <w:r>
        <w:t>Le litige porte sur le bien-fondé de la révision procédurale à laquelle a procédé l’intimée, respectivement le bien-fondé de la restitution par la recourante d’un montant de 174'663 fr. 05 correspondant aux prestations complémentaires à l’assurance-vieillesse et survivants qu’elle aurait indûment perçues entre le 1er septembre 2007 et le 31 janvier 2018.</w:t>
      </w:r>
    </w:p>
    <w:p>
      <w:r>
        <w:rPr>
          <w:b/>
        </w:rPr>
        <w:t>E. 5</w:t>
      </w:r>
    </w:p>
    <w:p>
      <w:r>
        <w:t>a) Selon l'art. 4 al. 1 let. a de la loi fédérale du 6 octobre 2006 sur les prestations complémentaires à l’AVS et à l’AI (LPC ; RS 831.30), les personnes qui ont leur domicile et leur résidence habituelle en Suisse ont droit à des prestations complémentaires dès lors qu'elles perçoivent une rente de vieillesse de l’assurance-vieillesse et survivants. b) Le montant de la prestation complémentaire annuelle correspond, en vertu de l'art. 9 al. 1 LPC, à la part des dépenses reconnues (art. 10 LPC) qui excède les revenus déterminants (art. 11 LPC). c) Aux termes de l'art. 11 al. 1 let. c LPC, les revenus déterminants pour calculer le montant de la prestation complémentaire annuelle comprennent notamment un quinzième de la fortune nette ou un</w:t>
      </w:r>
    </w:p>
    <w:p>
      <w:r>
        <w:t>- 15 - dixième pour les bénéficiaires de rentes de vieillesse, dans la mesure où elle dépasse 37'500 fr. pour les personnes seules, 60'000 fr. pour les couples et 15'000 fr. pour les orphelins et les enfants donnant droit à des rentes pour enfants de l’assurance-vieillesse et survivants ou de l’assurance-invalidité. d) La part à une succession non partagée doit être prise en compte comme élément de fortune pour calculer le montant de la prestation complémentaire annuelle, et ce dès l'ouverture de la succession (art. 560 al. 1 CC), soit au décès du de cujus (cf.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1er mars 2017 consid. 4.2.2 ; TF 9C_999/2009 du 7 juin 2010 consid. 1.1).</w:t>
      </w:r>
    </w:p>
    <w:p>
      <w:r>
        <w:rPr>
          <w:b/>
        </w:rPr>
        <w:t>E. 6</w:t>
      </w:r>
    </w:p>
    <w:p>
      <w:r>
        <w:t>a) Aux termes de l’art. 25 al. 1, 1ère phrase, LPGA, les prestations indûment touchées doivent être restituées. b)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w:t>
      </w:r>
    </w:p>
    <w:p>
      <w:r>
        <w:t>- 16 - aa)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 TF 9C_371/2008 du 2 février 2009 consid. 2.3). bb)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w:t>
      </w:r>
    </w:p>
    <w:p>
      <w:r>
        <w:t>- 17 -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TFA I 907/06 du 7 mai 2007 consid. 3.2.1).</w:t>
      </w:r>
    </w:p>
    <w:p>
      <w:r>
        <w:rPr>
          <w:b/>
        </w:rPr>
        <w:t>E. 7</w:t>
      </w:r>
    </w:p>
    <w:p>
      <w:r>
        <w:t>a) Aux termes de l'art. 25 al. 2 LPGA,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 Il s'agit de délais (relatif et absolu) de péremption, qui doivent être examinés d'office (ATF 133 V 579 consid. 4.1 ; 119 V 431 consid. 3a).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Le juge est néanmoins lié par une condamnation pénale, de même que par un prononcé libératoire constatant l’absence d’acte punissable (ATF 138 V 74 consid. 6.1 ; 118 V 193 consid. 4a ; voir également TF 8C_592/2007 du 20 août 2008 consid. 5.3 et les références). c) Lorsqu’il y a lieu de décider si la créance en restitution dérive d'un acte punissable soumis par les lois pénales à une prescription de plus longue durée, le degré de la preuve requis est celui qui prévaut en procédure pénale ; le degré de la vraisemblance prépondérante reconnu habituellement en droit des assurances sociales n’est pas suffisant. En tout état de cause, il appartient à l’autorité qui entend se prévaloir d’un</w:t>
      </w:r>
    </w:p>
    <w:p>
      <w:r>
        <w:t>- 18 - délai de prescription selon le droit pénal de produire les moyens permettant d’apporter la preuve d’un comportement punissable, singulièrement la réalisation des conditions objectives et subjectives de l’infraction (ATF 138 V 74 consid. 6.1 et les références). d) En matière de prestations complémentaires, ce sont principalement les infractions réprimées aux art. 146 CP (escroquerie) et 31 LPC (manquement à l'obligation de communiquer) qui entrent en considération au titre d'infractions pouvant impliquer l'application d'un délai de péremption plus long, étant précisé que l’art. 148a CP (obtention illicite de prestations d’une assurance sociale ou de l’aide sociale) n’est pas déterminant en l’espèce, dans la mesure où cette disposition est entrée en vigueur le 1er octobre 2016 et, partant, est postérieure aux agissements reprochés à la recourante. aa) aaa) Conformément à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bbb)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140 IV 11 consid. 2.3.2).</w:t>
      </w:r>
    </w:p>
    <w:p>
      <w:r>
        <w:t>- 19 - ccc)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En matière d’assurances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à traiter, une négligence ne peut être reprochée à l'autorité lorsque les pièces ne contiennent pas d'indice quant à des revenus ou à des éléments de fortune non déclarés ou qu'il est prévisible qu'elles n'en contiennent pas (TF 6B_496/2015 du 6 avril 2016 consid. 2.2.2 ; TF 6B_22/2011 du 23 mai 2011 consid. 2.1.2 et les références). ddd)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w:t>
      </w:r>
    </w:p>
    <w:p>
      <w:r>
        <w:t>- 20 -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6B_1115/2014 du 28 août 2015 consid. 2.1.3 et les références). eee)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 140 IV 11 consid. 2.4.1 et 2.4.6 in fine ; voir également TF 6B_791/2013 du 3 mars 2014 consid. 3.1.1 ; imprécis sur cette question, TF 9C_232/2013 du 13 décembre 2013 consid. 4.1.3). fff) Malgré l'importance que revêt l'établissement des faits dans le cadre de litiges assécurologiques et le rôle que joue dans ce contexte le devoir – légal ou contractuel – de communiquer toute modification importante des circonstances déterminantes en tant qu'aspect de l'obligation de collaborer, ce devoir ne confère pas un statut juridique particulier au</w:t>
      </w:r>
    </w:p>
    <w:p>
      <w:r>
        <w:t>- 21 - bénéficiaire qui le contraindrait à protéger d'une atteinte ou d'une mise en danger le patrimoine de l'assureur (public ou privé). C'est à l'assureur qu'il appartient en premier lieu de veiller à la sauvegarde de son patrimoine ;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 la loi ne lui impose pas d'obligation plus étendue. L'obligation d'annoncer toute modification des circonstances déterminantes est l'expression du principe de la bonne foi entre administration et administré ; les devoirs résultant de l'application de ce principe constitutionnel ne suffisent pas à fonder une position de garant de l'assuré à l'égard de l'assureur (ATF 140 IV 206 consid. 6.3.1.4 ; 140 IV 11 consid. 2.4.5 et les références). bb) aaa) Conformément à l'art. 31 al. 1 let. d LPC, est puni, à moins qu'il ne s'agisse d'un crime ou d'un délit frappé d'une peine plus élevée par le code pénal, d'une peine pécuniaire n'excédant pas 180 jours- amende celui qui manque à son obligation de communiquer au sens de l'art. 31 al. 1 LPGA. bbb) Par le biais des dispositions pénales figurant dans les diverses lois d'assurances sociales (voir également l'art. 87 al. 5 de la loi fédérale du 20 décembre 1946 sur l’assurance-vieillesse et survivants [LAVS ; RS 831.10], ainsi que les art. 70 de la loi fédérale du 19 juin 1959 sur l’assurance-invalidité [LAI ; RS 831.20], 25 de la loi fédérale du 25 septembre 1952 sur les allocations pour perte de gain en cas de service et de maternité [LAPG ; RS 834.1] et 23 de la loi fédérale du 24 mars 2006 sur les allocations familiales [LAFam ; RS 836.2],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w:t>
      </w:r>
    </w:p>
    <w:p>
      <w:r>
        <w:t>- 22 -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 140 V 11 consid. 2.4.6).</w:t>
      </w:r>
    </w:p>
    <w:p>
      <w:r>
        <w:rPr>
          <w:b/>
        </w:rPr>
        <w:t>E. 8</w:t>
      </w:r>
    </w:p>
    <w:p>
      <w:r>
        <w:t>En l’occurrence, il ressort aussi bien de la demande de prestations complémentaires déposée le 3 septembre 2007 que du questionnaire rempli le 28 novembre 2012 dans le cadre de la révision quadriennale de son dossier que la recourante n’a pas déclaré à l’intimée qu’elle était membre d’une succession non partagée depuis 1985, respectivement qu’elle avait hérité d’un montant important en 2011. Ce n’est que dans le cadre de la révision quadriennale de son dossier initiée au mois de mai 2017 que ces faits ont été découverts. Or la dissimulation de ces éléments de fortune constitue indéniablement un fait nouveau important au sens de l’art. 53 al. 1 LPGA. La fortune de la personne assurée est en effet un élément qui influe de manière notable l’octroi – cas échéant le montant – des prestations complémentaires (art. 11 al. 1 let. c LPC ; cf. consid. 5c supra). C’est donc à bon droit que l’intimée a, sur le principe, procédé à la révision procédurale des décisions d’octroi des prestations complémentaires erronées et, partant, exigé la restitution des prestations indûment perçues.</w:t>
      </w:r>
    </w:p>
    <w:p>
      <w:r>
        <w:rPr>
          <w:b/>
        </w:rPr>
        <w:t>E. 9</w:t>
      </w:r>
    </w:p>
    <w:p>
      <w:r>
        <w:t>a) N.________, mère de la recourante, a joui de l’usufruit viager sur la succession de son mari depuis le jour du décès de ce dernier, le</w:t>
      </w:r>
    </w:p>
    <w:p>
      <w:r>
        <w:t>- 23 - 7 décembre 1984, jusqu’au jour de son propre décès, le 27 décembre 2007. L’usufruit confère à son titulaire le droit d’usage et de jouissance sur la chose grevée. Dans la mesure où celui-ci est toutefois limité à la jouissance, l’usufruitier ne peut pas, comme dans le cas de la propriété, disposer de la chose, ni en droit ni en fait (art. 745 ss CC). Il s’ensuit qu’un élément de fortune grevé d’un usufruit ne doit pas être pris en compte dans la fortune de l’usufruitier. De même, il ne saurait être pris en compte dans la fortune du nu-propriétaire, car cela reviendrait à comptabiliser un revenu que le nu-propriétaire ne peut pas revendiquer en raison des droits conférés à l’usufruitier (ATF 122 V 394 consid. 6a). Dans ces conditions, il n’y a pas lieu de tenir compte de la part que la recourante pouvait prétendre à la succession de son père jusqu’au 27 décembre 2007, dès lors qu’elle n’était pas en mesure d’en disposer. b) De même, la prise en considération de la part à une succession non partagée ne peut avoir lieu que lorsque l’étendue de cette part a pu être déterminée de façon claire (cf. consid. 5d supra). Or il ressort des pièces au dossier, en particulier des pages 4 et 5 du document intitulé « Partage transactionnel de la succession de M. G.________ », que le partage de la succession a été retardé en raison d’un profond désaccord au sein de l’hoirie et que le montant des parts respectives des héritiers de G.________ n’a été formellement constaté que par acte notarié du 4 octobre 2010. Aussi convient-il de retenir que ce n’est qu’à compter de cette date qu’il était possible d’imputer à la fortune de la recourante une part de la succession non partagée de son père.</w:t>
      </w:r>
    </w:p>
    <w:p>
      <w:r>
        <w:rPr>
          <w:b/>
        </w:rPr>
        <w:t>E. 10</w:t>
      </w:r>
    </w:p>
    <w:p>
      <w:r>
        <w:t>S’agissant du délai de péremption absolu applicable à la demande de restitution, l’intimée a considéré que le comportement de la recourante réalisait les éléments objectifs et subjectifs d’une escroquerie. a) En premier lieu, il convient de relever, s’agissant du comportement ayant consisté pour la recourante à ne pas déclarer, dans le cadre de la demande de prestations complémentaires déposée le 3 septembre 2007, être membre d’une succession non partagée depuis 1985, que l’un des éléments objectifs de l’infraction d’escroquerie n’est</w:t>
      </w:r>
    </w:p>
    <w:p>
      <w:r>
        <w:t>- 24 - pas réalisé. Dans la mesure où il a été constaté précédemment que la part à la succession non partagée de G.________ ne pouvait être imputée sur la fortune de la recourante qu’à compter du 4 octobre 2010, la connaissance de ces circonstances n’aurait pas conduit l’intimée à refuser d’allouer des prestations complémentaires. b) En ce qui concerne le questionnaire rempli le 28 novembre 2012 dans le cadre de la révision quadriennale du dossier de la recourante, il y a lieu de constater, au vu de son contenu, l’existence, sur le plan objectif, d’un comportement actif de tromperie visant à dissimuler des informations pertinentes pour l’examen du droit aux prestations complémentaires et à induire en erreur l’intimée. Invitée notamment à indiquer la valeur de la part de sa fortune dans une succession non partagée (chap. A ch. 1 let. a du questionnaire), la recourante n’a fourni aucune indication. Dans la mesure où l’intimée n’avait aucune raison, faute d’indices, de se douter que la recourante dissimulait des éléments de fortune et de procéder à des vérifications complémentaires, la condition de l’astuce est également réalisée. A cet égard, la question de savoir si l’intimée aurait dû néanmoins requérir à l’époque la production de la déclaration fiscale 2011 de la recourante peut demeurer indécise, dans la mesure où il ressort des pièces remises par l’Office d’impôt des districts [...] que celle-ci ne contenait aucune indication selon laquelle la recourante était membre d’une succession non partagée depuis 1985, respectivement selon laquelle elle avait hérité d’un montant important en 2011. c) En apposant sa signature sur le questionnaire destiné à la révision quadriennale de son dossier, sans déclarer qu'elle était membre d’une succession non partagée depuis 1985, respectivement qu’elle avait hérité d’un montant important en 2011, la recourante a adopté un comportement qui ne relève pas d’une simple négligence. En effet, les faits de ne pas répondre correctement aux questions posées et de taire l’existence d’un compte bancaire sur lequel avaient été déposés les montants touchés à titre d’héritage doivent être appréciés comme étant constitutifs d’une tromperie par commission, dès lors que ledit</w:t>
      </w:r>
    </w:p>
    <w:p>
      <w:r>
        <w:t>- 25 - questionnaire constituait une invitation explicite à faire état de sa situation patrimoniale. Même en admettant – comme prétendu dans le recours – que ledit questionnaire a été complété par une assistante sociale et que la recourante ne l’a pas relu avant de le signer, il n’y a aucun doute sur le fait qu’il a été complété en la présence et avec la collaboration active de la recourante. Les informations figurant dans le questionnaire correspondent par conséquent aux réponses que la recourante a données à la collaboratrice ou au collaborateur de l’agence d’assurances sociales de [...]. Ce faisant, la recourante ne pouvait ignorer que les renseignements donnés étaient incomplets et, en apposant sa signature au bas des documents tout en certifiant que les réponses données étaient complètes et conformes à la vérité, s’est ainsi accommodée du fait qu’elle pourrait toucher des prestations complémentaires auxquelles elle n’avait pas droit, commettant ainsi un acte à tout le moins par dol éventuel. Faute par ailleurs d’indice suffisant laissant penser que la capacité de discernement et de compréhension de la recourante était altérée à la fin de l’année 2012, elle ne saurait se prévaloir de son âge – 67 ans au moment de la révision quadriennale – ou de son état de santé pour tenter de s’exonérer en partie ou totalement de son comportement fautif. Dans un courriel que le Dr A.________, médecin traitant, a adressé le 4 février 2021 au représentant de la recourante, celui-ci a d’ailleurs expliqué que la recourante n’avait commencé à se plaindre de troubles cognitifs qu’à compter de 2015. Quant au fait que la recourante ait présenté une carence en vitamine B12 en 2013, laquelle est susceptible d’entraîner en théorie des troubles cognitifs, cela ne saurait suffire, en l’absence d’autres éléments objectifs, à établir l’existence avérée d’une altération des fonctions cognitives de la recourante à la fin de l’année 2012. d) Sur le vu de ce qui précède, il convient de constater que la recourante réalise les éléments objectifs et subjectifs de l’infraction réprimée à l’art. 146 CP. Le délai de péremption de plus longue durée prévu par le droit pénal, soit en l’occurrence quinze ans (art. 97 al. 1 let. b CP), est par conséquent applicable.</w:t>
      </w:r>
    </w:p>
    <w:p>
      <w:r>
        <w:t>- 26 - e) Au vu des éléments figurant au dossier, il n’y a pas lieu de donner suite aux mesures d’instructions requises en cours de procédure. L’audition personnelle de la recourante ne modifierait pas l’appréciation qui précède, la Cour de céans ayant acquis la conviction, sur la base des moyens de preuve figurant au dossier, qu’elle avait caché certains faits à l’intimée. Au demeurant, il ressort du courriel que le Dr A.________, médecin traitant, a adressé le 4 février 2021 au représentant de la recourante, que celle-ci souffre actuellement d’une leucoencéphalopathie d’origine vasculaire à l’origine de troubles cognitifs et de la mémoire, de sorte qu’il y a tout lieu de penser que l’audition personnelle de la recourante serait peu contributive. De même n’est-il pas nécessaire de recueillir des renseignements médicaux auprès du Centre K.________, puisqu’ils ne permettraient que de décrire l’état de santé actuel de la recourante, élément sans pertinence dans le cas d’espèce. Pour le reste, il convient de rappeler que le devoir d’instruction du juge est limité par le devoir des parties de collaborer à l'instruction de l'affaire, lequel comprend en particulier l'obligation des parties d'apporter, dans la mesure où cela peut être raisonnablement exigé d'elles, les preuves commandées par la nature du litige et des faits invoqués (ATF 125 V 193 consid. 2). Or, compte tenu de la nature du litige, il pouvait raisonnablement être exigé de la recourante qu’elle apporte les moyens de preuve permettant de déterminer précisément son état de santé à la fin de l’année 2012.</w:t>
      </w:r>
    </w:p>
    <w:p>
      <w:r>
        <w:rPr>
          <w:b/>
        </w:rPr>
        <w:t>E. 11</w:t>
      </w:r>
    </w:p>
    <w:p>
      <w:r>
        <w:t>Sur le vu de ce qui précède, il y a lieu de constater que l’intimée peut prétendre à la restitution des prestations complémentaires qu’elle a indûment versées à la recourante durant la période courant du 1er novembre 2010 (cf. art. 12 al. 3 LPC) au 31 janvier 2018. a) Au cours de cette période, la recourante a, compte tenu du fait qu’aucune prestation n’a été versée entre les mois de juillet 2017 et janvier 2018, effectivement perçu la somme de 123'727 fr., montant auquel il convient de déduire la somme de 7'155 fr. (correspondant aux prestations complémentaires auxquelles la recourante pouvait effectivement prétendre au cours de la période litigieuse [7'055 fr.] et à</w:t>
      </w:r>
    </w:p>
    <w:p>
      <w:r>
        <w:t>- 27 - une allocation de Noël [100 fr.]). Le montant que la recourante doit restituer à l’intimée s’élève ainsi à 116’572 francs. b) Il n’y a pas lieu d’examiner si l’intimée peut également prétendre au remboursement des frais de maladie relatifs à l’année 2010. Les captures d’écran figurant au dossier produites par l’intimée ne permettent aucunement d’établir le bien-fondé de cette créance, dès lors qu’elles ne contiennent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la recourante doit restitution à l’intimée de la somme de 116'572 francs. b) La procédure étant gratuite, il n'y a pas lieu de percevoir de frais de justice (art. 61 let. a LPGA dans sa teneur en vigueur jusqu’au 31 décembre 2020, applicable conformément à l’art. 82a LPGA). c) La recourante, qui obtient partiellement gain de cause avec l’assistance d’un mandataire professionnel, peut prétendre une indemnité de dépens à la charge de l’intimée (art. 61 let. g LPGA). Il convient de fixer cette indemnité à 1’500 fr.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