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ZH19.049896 vom 8. April 2020</w:t>
      </w:r>
    </w:p>
    <w:p>
      <w:r>
        <w:t>VD Tribunal cantonal, 2020-04-08, FR</w:t>
      </w:r>
    </w:p>
    <w:p>
      <w:r>
        <w:rPr>
          <w:b/>
        </w:rPr>
        <w:t xml:space="preserve">Quelle: </w:t>
      </w:r>
      <w:r>
        <w:t>https://mcp.opencaselaw.ch/entscheid/vd_gerichte_ZH19.049896</w:t>
      </w:r>
    </w:p>
    <w:p>
      <w:r>
        <w:t>FR: VD_GERICHTE ZH19.049896 du 8 avril 2020</w:t>
      </w:r>
    </w:p>
    <w:p>
      <w:r>
        <w:t>IT: VD_GERICHTE ZH19.049896 del 8 aprile 2020</w:t>
      </w:r>
    </w:p>
    <w:p>
      <w:pPr>
        <w:pStyle w:val="Heading2"/>
      </w:pPr>
      <w:r>
        <w:t>Erwägungen</w:t>
      </w:r>
    </w:p>
    <w:p>
      <w:r>
        <w:rPr>
          <w:b/>
        </w:rPr>
        <w:t>E. 6</w:t>
      </w:r>
    </w:p>
    <w:p>
      <w:r>
        <w:t>a) Le recours doit par conséquent être rejeté et la décision sur opposition du 3 mai 2019 confirmée.</w:t>
      </w:r>
    </w:p>
    <w:p>
      <w:r>
        <w:t>- 16 -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3 mai 2019 par la Caisse cantonale vaudoise de compensation AVS est confirmée. III. Il n’est pas perçu de frais judiciaires, ni alloué de dépens. La juge unique : La greffière : Du L'arrêt qui précède est notifié à : - Me Jean-Michel Duc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