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ZH19.049205 vom 11. Dezember 2020</w:t>
      </w:r>
    </w:p>
    <w:p>
      <w:r>
        <w:t>VD Tribunal cantonal, 2020-12-11, FR</w:t>
      </w:r>
    </w:p>
    <w:p>
      <w:r>
        <w:rPr>
          <w:b/>
        </w:rPr>
        <w:t xml:space="preserve">Quelle: </w:t>
      </w:r>
      <w:r>
        <w:t>https://mcp.opencaselaw.ch/entscheid/vd_gerichte_ZH19.049205</w:t>
      </w:r>
    </w:p>
    <w:p>
      <w:r>
        <w:t>FR: VD_GERICHTE ZH19.049205 du 11 décembre 2020</w:t>
      </w:r>
    </w:p>
    <w:p>
      <w:r>
        <w:t>IT: VD_GERICHTE ZH19.049205 del 11 dicembre 2020</w:t>
      </w:r>
    </w:p>
    <w:p>
      <w:pPr>
        <w:pStyle w:val="Heading2"/>
      </w:pPr>
      <w:r>
        <w:t>Erwägungen</w:t>
      </w:r>
    </w:p>
    <w:p>
      <w:r>
        <w:rPr>
          <w:b/>
        </w:rPr>
        <w:t>E. 8</w:t>
      </w:r>
    </w:p>
    <w:p>
      <w:r>
        <w:t>Le montant dû par le recourant au titre de la restitution est supérieur au montant de 739 fr. réclamé par la caisse intimée dans sa décision sur opposition du 15 octobre 2019. Cette issue aboutit par conséquent à un résultat qui est moins favorable pour le recourant. Conformément à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 Cela implique que la personne concernée soit expressément informée de cette possibilité afin d'évaluer les mesures à prendre en toute connaissance de cause (ATF 137 V 314). En l’occurrence, le recourant a expressément été rendu attentif à la possibilité d’une reformatio in pejus par courrier du juge instructeur du 5 octobre 2020, lequel lui a imparti un délai de 15 jours afin de prendre position, cas échéant de retirer son recours. A la suite de ce courrier, le recourant, après avoir obtenu une prolongation de délai, a, par lettre du 23 novembre 2020, expressément déclaré maintenir son recours.</w:t>
      </w:r>
    </w:p>
    <w:p>
      <w:r>
        <w:rPr>
          <w:b/>
        </w:rPr>
        <w:t>E. 9</w:t>
      </w:r>
    </w:p>
    <w:p>
      <w:r>
        <w:t>Sur le vu de ce qui précède, les auditions du recourant et d’N.________ apparaissent superflues. Quoi qu’en dise le recourant, de telles mesures d’instruction ne seraient pas de nature à modifier les</w:t>
      </w:r>
    </w:p>
    <w:p>
      <w:r>
        <w:t>- 19 - considérations tenues dans le présent arrêt, les faits ayant pu être constatés à satisfaction de droit sur la base des pièces versées au dossier (appréciation anticipée des preuves ; cf. ATF 140 I 285 consid. 6.3.1 ; 134 I 140 consid. 5.2 et les références citées). Les réquisitions du recourant en ce sens doivent par conséquent être rejetées.</w:t>
      </w:r>
    </w:p>
    <w:p>
      <w:r>
        <w:rPr>
          <w:b/>
        </w:rPr>
        <w:t>E. 10</w:t>
      </w:r>
    </w:p>
    <w:p>
      <w:r>
        <w:t>a) Mal fondé, le recours doit être rejeté et la décision sur opposition rendue par la caisse intimée le 15 octobre 2019 réformée en ce sens que le recourant pouvait prétendre à une prestation complémentaire de 451 fr. pour le mois de novembre 2018, de 387 fr. pour le mois de décembre 2018, de 440 fr. pour le mois de janvier 2019, de 379 fr. pour le mois de février 2019, de 230 fr. pour les mois de mars et avril 2019 et de 239 fr. pour les mois de mai à septembre 2019 et que les prestations versées en trop à hauteur de 3'119 fr. doivent être restituées. b) Il n'y a pas lieu de percevoir de frais judiciaires, la procédure étant gratuite (art. 61 let. a LPGA), ni d'allouer de dépens, dès lors que le recourant n’obtient pas gain de cause (art. 55 al. 1 LPA-VD et 61 let. g LPGA). Par ces motifs, le juge unique p r o n o n c e : I. Le recours est rejeté. II. La décision sur opposition rendue par la Caisse cantonale vaudoise de compensation AVS le 15 octobre 2019 est réformée en ce sens que, d’une part, A.Z.________ a droit à une prestation complémentaire de 451 fr. pour le mois de novembre 2018, de 387 fr. pour le mois de décembre 2018, de 440 fr. pour le mois de janvier 2019, de 379 fr. pour le mois de</w:t>
      </w:r>
    </w:p>
    <w:p>
      <w:r>
        <w:t>- 20 - février 2019, de 230 fr. pour les mois de mars et avril 2019 et de 239 fr. pour les mois de mai à septembre 2019 et que, d’autre part, les prestations versées en trop à hauteur de 3'119 fr. doivent être restituées. III. Il n’est pas perçu de frais ni alloué de dépens. Le juge unique : La greffière : Du L'arrêt qui précède est notifié à : - Me Alessandro Brenci (pour A.Z.________),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