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ZH10.024481 vom 31. Mai 2012</w:t>
      </w:r>
    </w:p>
    <w:p>
      <w:r>
        <w:t>VD Tribunal cantonal, 2012-05-31, FR</w:t>
      </w:r>
    </w:p>
    <w:p>
      <w:r>
        <w:rPr>
          <w:b/>
        </w:rPr>
        <w:t xml:space="preserve">Quelle: </w:t>
      </w:r>
      <w:r>
        <w:t>https://mcp.opencaselaw.ch/entscheid/vd_gerichte_ZH10.024481</w:t>
      </w:r>
    </w:p>
    <w:p>
      <w:r>
        <w:t>FR: VD_GERICHTE ZH10.024481 du 31 mai 2012</w:t>
      </w:r>
    </w:p>
    <w:p>
      <w:r>
        <w:t>IT: VD_GERICHTE ZH10.024481 del 31 maggio 2012</w:t>
      </w:r>
    </w:p>
    <w:p>
      <w:pPr>
        <w:pStyle w:val="Heading2"/>
      </w:pPr>
      <w:r>
        <w:t>Erwägungen</w:t>
      </w:r>
    </w:p>
    <w:p>
      <w:r>
        <w:rPr>
          <w:b/>
        </w:rPr>
        <w:t>E. 14</w:t>
      </w:r>
    </w:p>
    <w:p>
      <w:r>
        <w:t>mars 2012, que si les éléments de fait contenus dans le courrier précité de l’association n’étaient pas contestés, il n’apparaîtrait pas nécessaire de demander à un tiers, voire à un service de l’Etat, d’établir un rapport d’examen de la situation de la maison d’accueil Z.________. Ni la recourante ni la Caisse cantonale n’ont déposé une nouvelle écriture. Le SASH a pour sa part déclaré qu’il ne sollicitait pas d’autres mesures d’instruction. E n d r o i t : 1. Il y a lieu de statuer à nouveau sur le recours formé contre la décision sur opposition du 23 février 2007, vu l'arrêt de renvoi du Tribunal fédéral du 28 juin 2012 (arrêt 9C_852/2009). 2. La contestation porte sur le droit de feue M.________, à laquelle a succédé la recourante, aux prestations complémentaires à l’AVS et à l’AI qui avaient été requises en février 2006. Ces prestations, demandées à partir du mois de février 2006, pouvaient être dues au maximum jusqu’au décès de l’intéressée, en novembre 2007. Il n’est pas contesté que cette dernière a passé les derniers mois de sa vie, depuis février 2006, dans la même institution, et que sa situation n’a donc pas évolué pendant cette période, du point de vue du droit aux prestations complémentaires. Il résulte du considérant 6.1 de l’arrêt précité du Tribunal fédéral que l’ancienne législation fédérale sur les prestations complémentaires, en vigueur jusqu’au 31 décembre 2007, est applicable dans la présente affaire. Les frais d’hébergement peuvent être pris en</w:t>
      </w:r>
    </w:p>
    <w:p>
      <w:r>
        <w:t>- 11 - considération comme dépenses reconnues. La notion de "home" avait alors été précisée, dans ce cadre, par la jurisprudence: il fallait que le séjour répondît à un besoin et que l’institution en cause offrît la garantie de satisfaire celui-ci de manière adéquate, notamment sous l’angle de l’organisation, de l’infrastructure et du personnel. Seuls ces critères sont déterminants dans la présente affaire. Il n’y a donc pas lieu d’examiner la situation juridique sous l’angle de la nouvelle LPC entrée en vigueur le 1er janvier 2008. Il ne faut pas non plus accorder une portée décisive à l’existence ou l’absence d’une autorisation d’exploiter l’institution en cause, fondée sur le droit cantonal. Le Tribunal fédéral a en effet considéré que "le seul fait qu’un home non médicalisé ne soit pas reconnu en tant que tel au sens de la législation cantonale ne signifie pas qu’il ne puisse pas être reconnu comme home non médicalisé au sens du droit fédéral en vigueur au moment des faits déterminants" (soit avant le 1er janvier 2008 – arrêt 9C_852/2009, consid. 6.3). Il résulte ainsi de l’arrêt de renvoi du Tribunal fédéral, que si l’octroi de l’autorisation d’exploiter cantonale dépend bien de conditions liées à l’organisation, à la structure et au personnel, le fait que l’institution en cause ne puisse pas obtenir ladite autorisation ne signifie pas qu’elle ne répond pas à l’ancienne définition fédérale, jurisprudentielle, du home (non médicalisé). Il faut bien plutôt examiner concrètement le besoin, pour l’intéressée, de séjourner dans une institution telle que la maison d’accueil Z.________, et les garanties offertes effectivement. 3. Dans cette nouvelle appréciation de la situation, la description par l’association Z.________ du fonctionnement de la maison d’accueil, de même que de la prise en charge de l’intéressée en 2006-2007, est déterminante. Cette description, formulée de manière précise et factuelle, n’ayant fait l’objet d’aucune remarque des parties, doit être considérée comme probante. a) Le besoin, pour feue M.________ – presque centenaire au moment où elle a demandé des PC –, de bénéficier d’une aide dans la plupart des moments ou activités de la vie quotidienne (au réveil, pour la</w:t>
      </w:r>
    </w:p>
    <w:p>
      <w:r>
        <w:t>- 12 - toilette, pour quitter la chambre et se rendre à la salle à manger ou dans d’autres locaux, pour se promener, pour aller se coucher, etc.), est suffisamment établi. Dans la demande de prestations complémentaires, il était du reste indiqué qu’avant de résider au Z.________, l’intéressée obtenait l’aide d’une parente, décédée à la fin de l’année 2005. Elle se trouvait ainsi dans un certain état de dépendance, lié à l’âge. b) Dans la mesure où il s’agit d’examiner si la maison d’accueil Z.________ offrait la garantie de satisfaire ce besoin de manière adéquate, notamment sous l’angle de l’organisation, de l’infrastructure et du personnel, il convient de renvoyer à la description des infrastructures et des services offerts, telle qu’elle figure dans les réponses fournies par l’association responsable, reproduites dans les faits du présent arrêt. Les "prestations" d’ordre spirituel n’ont pas à être examinées ou évaluées dans ce cadre; il suffit d’apprécier les éléments concernant l’infrastructure matérielle (chambres, locaux communs, etc.) et les services, sans but spirituel prépondérant, offerts par le personnel (aide pour les déplacements et les repas, pansements, accompagnement dans les loisirs, etc.). Les indications données par l’association à ce propos sont suffisamment complètes et précises; il n’y a pas lieu de les reprendre ni de les commenter dans les présents considérants. Elles permettent de procéder à une appréciation globale de l’institution et de conclure que – nonobstant l’absence d’autorisation cantonale (cf. supra, consid. 2) – les garanties suffisantes sont offertes pour admettre que le séjour dans cette maison d’accueil est assimilable au séjour dans un home non médicalisé, du point de vue des (anciennes) prescriptions fédérales sur les prestations complémentaires. Il convient de préciser que cette appréciation n’implique pas que l’on interprète nécessairement la notion de home, dans la nouvelle loi fédérale sur les prestations complémentaires, de la même manière, la révision ayant précisément visé à introduire dans la loi une définition du home (cf. notamment message du Conseil fédéral, FF 2005 p. 5832), tandis que l’on applique encore, dans le présent arrêt, les critères de la jurisprudence fondés sur l’ancienne législation.</w:t>
      </w:r>
    </w:p>
    <w:p>
      <w:r>
        <w:t>- 13 - c) Il résulte de ce qui précède, que les frais de séjour de feue M.________ dans la maison d’accueil Z.________, traitée comme un home au regard des anciens art. 3a et 3b LPC (cf. arrêt 9C_852/2009, consid. 6.1), auraient dû être pris en compte dans le cadre des dépenses reconnues. La Caisse cantonale a donc violé les dispositions du droit fédéral applicables au moment où elle a refusé d’octroyer des prestations complémentaires, sur la base d’un calcul faisant abstraction des frais de séjour dans cette maison d’accueil. La décision attaquée – soit la décision sur opposition du 23 février 2007 – doit par conséquent être annulée, et l’affaire doit être renvoyée à la Caisse cantonale pour nouvelle décision au sens des considérants, décision qui tiendra donc compte de cet élément dans les dépenses reconnues. La Cour de céans n’est en effet pas en mesure, sur la base du dossier, de statuer elle-même sur le droit aux prestations complémentaires en fonction de tous les éléments de calcul pertinents. La Caisse cantonale rendra une nouvelle décision sur le droit aux prestations complémentaires pour la période de février 2006 à novembre 2007, date du décès de l’intéressée, intervenu avant l’entrée en vigueur du nouveau droit. 4. Le présent arrêt doit être rendu sans frais (art. 61 let. b LPGA [loi fédérale du 6 octobre 2000 sur la partie générale du droit des assurances sociales, RS 830.1]). La recourante a droit à des dépens, fixés en fonction des opérations faites par l’avocat qu’elle a mandaté après l’arrêt du Tribunal fédéral – la recourante agissant auparavant par le truchement de son époux (art. 61 let. g LPGA). Par ces motifs,</w:t>
      </w:r>
    </w:p>
    <w:p>
      <w:r>
        <w:t>- 14 - la Cour des assurances sociales p r o n o n c e : I. Le recours est admis. II. La décision sur opposition rendue le 23 février 2007 par la Caisse cantonale vaudoise de compensation AVS est annulée; l'affaire est renvoyée à cette caisse pour nouvelle décision au sens des considérants. III. Il n'est pas perçu de frais judiciaires. IV. Une indemnité de 1'500 fr. (mille cinq cents francs), à payer à S.________ à titre de dépens, est mise à la charge de la Caisse cantonale vaudoise de compensation AVS. Le président : La greffière : Du L'arrêt qui précède, dont la rédaction a été approuvée à huis clos, est notifié à : - Me Walter Maffioletti, avocat (pour S.________),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w:t>
      </w:r>
    </w:p>
    <w:p>
      <w:r>
        <w:t>- 15 -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