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ZG24.045169 vom 27. März 2025</w:t>
      </w:r>
    </w:p>
    <w:p>
      <w:r>
        <w:t>VD Tribunal cantonal, 2025-03-27, FR</w:t>
      </w:r>
    </w:p>
    <w:p>
      <w:r>
        <w:rPr>
          <w:b/>
        </w:rPr>
        <w:t xml:space="preserve">Quelle: </w:t>
      </w:r>
      <w:r>
        <w:t>https://mcp.opencaselaw.ch/entscheid/vd_gerichte_ZG24.045169</w:t>
      </w:r>
    </w:p>
    <w:p>
      <w:r>
        <w:t>FR: VD_GERICHTE ZG24.045169 du 27 mars 2025</w:t>
      </w:r>
    </w:p>
    <w:p>
      <w:r>
        <w:t>IT: VD_GERICHTE ZG24.045169 del 27 marzo 2025</w:t>
      </w:r>
    </w:p>
    <w:p>
      <w:pPr>
        <w:pStyle w:val="Heading2"/>
      </w:pPr>
      <w:r>
        <w:t>Erwägungen</w:t>
      </w:r>
    </w:p>
    <w:p>
      <w:r>
        <w:rPr>
          <w:b/>
        </w:rPr>
        <w:t>E. 1</w:t>
      </w:r>
    </w:p>
    <w:p>
      <w:r>
        <w:t>a) La LPGA (loi fédérale du 6 octobre 2000 sur la partie générale du droit des assurances sociales ; RS 830.1) est, sauf dérogation expresse, applicable en matière d’allocations familiales (art. 1 LAFam [loi fédérale du 24 mars 2006 sur les allocations familiales ; RS 836.2]). Les décisions prises par les caisses de compensation pour allocations familiales peuvent faire l’objet d’un recours devant le tribunal des assurances du canton dont le régime d’allocations familiales est appliqué (art. 56 al.1 LPGA et 22 LAFam), dans les trente jours suivant leur notification (art. 60 al. 1 LPGA).</w:t>
      </w:r>
    </w:p>
    <w:p>
      <w:r>
        <w:t>- 5 -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droit du recourant à des allocations familiales pour sa fille B.B.________ au-delà du 31 août 2023.</w:t>
      </w:r>
    </w:p>
    <w:p>
      <w:r>
        <w:rPr>
          <w:b/>
        </w:rPr>
        <w:t>E. 3</w:t>
      </w:r>
    </w:p>
    <w:p>
      <w:r>
        <w:t>a) Les allocations familiales sont des prestations en espèces, uniques ou périodiques, destinées à compenser partiellement la charge financière représentée par un ou plusieurs enfants (art. 2 LAFam). b) L’allocation familiale comprend l’allocation pour enfant et l’allocation de formation professionnelle qui est octroyée au plus tard, en cas de formation, jusqu’à l’âge de 25 ans (art. 3 al. 1 LAFam). Selon l’art. 1 al. 1 OAFam (ordonnance du 31 octobre 2007 sur les allocations familiales ; RS 836.21), un droit à l’allocation de formation professionnelle existe pour les enfants accomplissant une formation au sens des art. 49bis et 49ter RAVS (règlement du 31 octobre 1947 sur l’assurance-vieillesse et survivants ; RS 831.101). c) L’art. 49bis al. 1 RAVS prévoit qu’un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Sont également considérées comme formation les solutions transitoires d’occupation telles que les semestres de motivation et les préapprentissages, les séjours au pair et les séjours linguistiques, pour autant qu’ils comprennent une partie de cours (al. 2).</w:t>
      </w:r>
    </w:p>
    <w:p>
      <w:r>
        <w:t>- 6 - En revanche, selon l’art. 49bis al. 3 RAVS, un enfant n’est pas considéré en formation si son revenu d’activité lucrative mensuel moyen est supérieur à la rente de vieillesse complète maximale de l’AVS. Autrement dit, lorsqu’un enfant perçoit un revenu d’activité lucrative mensuel moyen supérieur à la rente de vieillesse AVS, il n’a pas droit à l’allocation de formation professionnelle, quand bien même il suit une formation remplissant les conditions des alinéas 1 et 2 (cf. ATF 142 V 442). d) En vertu de l’art. 49ter RAVS, qui règle la fin ou l’interruption de la formation, celle-ci se termine avec l’obtention d’un diplôme, avec un abandon ou une interruption des études, ou encore avec la naissance du droit à une rente d’invalidité (al. 1 et 2). e) L’Office fédéral des assurances sociales (OFAS) a édicté des directives administratives relatives aux rentes de l’assurance vieillesse, survivants et invalidité (DR) qui précisent notamment la notion de formation au sens de la LAVS. Les directives administratives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Cela ne signifie toutefois pas que le juge des assurances sociales n’en tienne pas compte. Au contraire, il doit les prendre en considération lors de sa décision lorsqu’elles offrent une interprétation satisfaisante des dispositions légales applicables et adaptée au cas d’espèce. Il ne s’en écarte que dans la mesure où les directives administratives établissent des normes qui ne sont pas conformes aux dispositions légales applicables (cf. ATF 142 V 442 consid. 5.2 ; 140 V 314 consid. 3.3 ; 133 V 587 consid. 6.1 ; 133 V 257 consid. 3.2 ; cf. Michel Valterio, Droit de l’assurance-vieillesse et survivants [AVS] et de l’assurance-invalidité [AI], Genève-Zurich-Bâle 2011, n. 33 p. 17). En ce qui concerne la notion de formation, respectivement l’interruption et la fin de la formation, le Tribunal fédéral a admis que l’on pouvait s’appuyer sur</w:t>
      </w:r>
    </w:p>
    <w:p>
      <w:r>
        <w:t>- 7 - les directives de l’OFAS (ATF 142 V 442 précité consid. 3.1 ; 141 V 473 consid. 3 ; 138 V 286 consid. 4.2.2 ; TF 9C_487/2016 du 3 mars 2017 consid. 4.2). f) Ainsi, selon ces directives, la formation doit durer quatre semaines au moins et tendre systématiquement à l’acquisition de connaissances. Les connaissances acquises doivent soit déboucher sur l’obtention d’un diplôme professionnel spécifique, soit permettre l’exercice d’une activité professionnelle même sans diplôme professionnel à la clé, voire enfin – si elles n’ont pas été ciblées sur l’exercice d’une profession bien définie – servir pour l’exercice d’une multitude de professions ou valoir comme formation générale. La formation doit obéir à un plan de formation structuré reconnu de jure ou à tout le moins de facto. Par contre, peu importe qu’il s’agisse d’une formation initiale, d’une formation complémentaire ou d’une formation qui vise à une réorientation professionnelle (ch. 3358 DR, dans sa teneur en vigueur au 1er janvier 2023, applicable au présent litige). La préparation systématique exige que l’enfant suive la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(apprentissage dans l’entreprise, enseignement scolaire, cours, préparation et suivi, devoirs à domicile et travail personnel, rédaction d’un travail de diplôme, étude à distance, etc.) s’élève à vingt heures au moins par semaine (ch. 3359 DR). Le temps effectif dévolu à la formation ne peut partiellement être déterminé que sur la base d'indices et doit être évalué selon le critère de la vraisemblance prépondérante. Ce faisant, il importera en particulier de se fonder également sur les indications fournies par le préposé à la formation au sujet du temps moyen appelé à être consacré à la formation dans la filière suivie. Celui qui ne suit qu'un nombre limité de cours (p. ex. quatre cours le soir) alors qu'il poursuit pour l'essentiel l'exercice d'une activité lucrative durant la journée (sans caractère de formation), ne pourra que difficilement faire état d'un temps prépondérant consacré à la formation (ch. 3360 DR).</w:t>
      </w:r>
    </w:p>
    <w:p>
      <w:r>
        <w:t>- 8 - Le ch. 3368.1 DR expose en outre que la formation est réputée terminée normalement lorsque la personne n’a plus besoin de lui consacrer du temps parce qu’elle a fourni toutes les attestations de participation requises pour son achèvement (travaux remis, stages effectués, examens subis avec succès). Il ne faut pas se fonder sur l’achèvement purement formel de la période de formation (par ex. exmatriculation, cérémonie de remise des diplômes, promotions). Selon le ch. 3368.2 DR, la formation est également réputée terminée lorsqu’elle est interrompue. L’enfant n’est plus en formation tant qu’il n’a pas repris une formation. Cette règle s’applique au laps de temps compris entre l’interruption d’un apprentissage et le début d’un nouveau contrat d’apprentissage. La durée qui s’écoule entre la résiliation anticipée d’un contrat d’apprentissage et l’établissement d’un nouveau contrat ne constitue pas une interruption de la formation au sens du droit si la recherche d’une autre place d’apprentissage a été entreprise sans délai (TF 8C_916/2013 du 20 mars 2014 consid. 3.4). Le ch. 3369 DR indique encore que si la formation professionnelle est interrompue, elle est – sous réserve de certaines interruptions visées aux ch. 3370 à 3373 DR – en principe considérée comme ayant pris fin ; tel est également le cas lorsque seul un objectif intermédiaire a jusqu’alors été atteint, tel l’obtention d’une maturité par exemple. Ces considérations correspondent largement au commentaire des modifications du RAVS au 1er janvier 2011 du 22 octobre 2010 (ci- après : le commentaire RAVS ; consultable sur le site : https://www.bsv.admin.ch/bsv/fr/home/ assurances-sociales/ahv/donnees-de-base-et-legislation/avs--- legislation/archives- modifications-des-reglements.html, sous Modifications RAVS [consulté le 24 mars 2025]), dans lequel l'OFAS indique à propos de l'art. 49bis al. 1 RAVS qu'avec la nécessité de consacrer « la majeure partie du temps » à l'objectif de formation, l'enfant doit dédier une part prépondérante de son temps à sa formation. Dès lors, les enfants qui ne fréquentent que quelques cours par semaine et, à côté, vaquent à des occupations, lucratives ou non, sans caractère de formation ne se trouvent</w:t>
      </w:r>
    </w:p>
    <w:p>
      <w:r>
        <w:t>- 9 - pas en formation. Ce cas de figure comprend notamment les personnes qui ont échoué aux examens finaux et répètent l’année tout en ne fréquentant plus qu’un nombre restreint de cours par semaine ainsi que celles qui ne terminent pas leur formation dans le cadre du plan d’étude préalablement établi. Le temps consacré à la formation (cours ainsi que préparation et suivi, devoirs à domicile et travail personnel) doit représenter au moins vingt heures par semaine. Il importe, dans le même ordre, d'être très attentif à ce titre dans le cadre des formations à distance. Le temps dévolu à la formation (devoir à domicile, formation à distance, travail de diplôme dans le cadre de la formation) ne peut être déterminé que sur la base d'indices et doit être évalué selon le critère de la vraisemblance prépondérante ; dans la pratique, on se basera notamment sur les renseignements fournis par les institutions de formation (Commentaire RAVS, p. 7 ; TF 8C_834/2016 du 28 septembre 2017 consid. 6.2.3).</w:t>
      </w:r>
    </w:p>
    <w:p>
      <w:r>
        <w:rPr>
          <w:b/>
        </w:rPr>
        <w:t>E. 4</w:t>
      </w:r>
    </w:p>
    <w:p>
      <w:r>
        <w:t>La fille du recourant a suivi un apprentissage en entreprise d’une durée de trois ans qui s’est terminé en août 2023. Ayant échoué aux examens de fin d’apprentissage et n’ayant pas pu prolonger le contrat d’apprentissage avec son employeur, elle a décidé de se présenter en candidate libre à la session d’examens suivante, le recourant ayant précisé à cet égard que les recherches de sa fille pour prolonger le contrat d’apprentissage avec une autre société n’avaient pas abouti. La fille du recourant a donc poursuivi des cours auprès de G.________ afin de se préparer pour une prochaine session d’examen en vue d’obtenir le CFC de logisticienne, à raison de 8 heures par semaine selon les déclarations du recourant. Celui-ci s’est aussi prévalu des heures de travail à domicile accomplies par sa fille pour acquérir les connaissances nécessaires et des cours supplémentaires qu’elle a suivis au sein de I.________ pour soutenir qu’elle avait consacré au total au moins 24 heures par semaine à sa formation. Il y a lieu de constater qu’il n’est pas rendu vraisemblable que durant la période en cause, soit entre septembre 2023 et juillet 2024, la fille du recourant a consacré 20 heures par semaine à sa formation, même</w:t>
      </w:r>
    </w:p>
    <w:p>
      <w:r>
        <w:t>- 10 - en tenant compte des cours de I.________ et des travaux de préparation à domicile. Hormis ses déclarations, le recourant n’a apporté aucun élément de preuve permettant de démontrer la réalité de l’investissement temporel allégué. Les cours à G.________ étaient suivis à raison de</w:t>
      </w:r>
    </w:p>
    <w:p>
      <w:r>
        <w:rPr>
          <w:b/>
        </w:rPr>
        <w:t>E. 8</w:t>
      </w:r>
    </w:p>
    <w:p>
      <w:r>
        <w:t>heures par semaine selon les déclarations du prénommé et les cours auprès de I.________ n’ont représenté que trois jours complets au total sur toute la période considérée selon les pièces produites. Quant au nombre d’heures nécessaires pour la préparation et le suivi des cours, pour les devoirs à domicile et le travail personnel à côté des cours, il peut varier d’un étudiant à l’autre en fonction de ses besoins personnels et du rythme de travail choisi. En l’espèce, la fille du recourant était inscrite en candidate libre à G.________ pour suivre des cours qui lui avaient déjà été dispensés l’année précédente et qui ne représentaient pas une condition pour pouvoir s’inscrire à la session d’examens en vue de l’obtention du CFC. Il s’agissait ainsi pour elle de revoir les matières déjà apprises en troisième année d’apprentissage en approfondissant les points qui n'étaient pas maîtrisés, et non pas d'acquérir ex nihilo les matières à répéter. Dans ces circonstances, il paraît peu vraisemblable qu’elle ait consacré 2 à 3 jours par semaine, plus 2 jours le week-end, soit au total entre 4 à 5 jours par semaine de travail à domicile entre septembre 2023 et juin 2024 à ses études et à la préparation aux examens. A noter encore qu’en parallèle, la fille du recourant exerçait une activité lucrative à un taux entre 50 et 60 % pour lequel elle percevait un revenu de 2'244 fr. selon les dires du recourant, soit un montant très proche de celui de la rente de vieillesse complète maximale de l’AVS (qui était de 2’450 fr. en 2023 et 2024 ; cf. art. 34 al. 3 et 5 LAVS), ce qui est un indice supplémentaire qu’elle ne consacrait pas un temps prépondérant à sa formation. En conclusion, il n’est pas rendu vraisemblable que la fille du recourant a exercé une formation au sens de l’art. 49bis RAVS entre septembre 2023 et l’obtention de son CFC en juin 2024, de sorte que l’intimée était fondée à refuser d'allouer des allocations familiales au recourant pour la période postérieure au 31 août 2023.</w:t>
      </w:r>
    </w:p>
    <w:p>
      <w:r>
        <w:t>- 11 - 5. En définitive, le recours, mal fondé, doit être rejeté et la décision sur opposition litigieuse confirmée. Il n’y a pas lieu de percevoir de frais judiciaires (art. 61 let. f bis LPGA), ni d’allouer de dépens à la partie recourante, qui n’obtient pas gain de cause (art. 61 let. g LPGA ; ATF 127 V 205 consid. 4b). Par ces motifs, la juge unique p r o n o n c e : I. Le recours est rejeté. II. La décision sur opposition rendue le 9 septembre 2024 par la Caisse cantonale vaudoise de compensation AVS est confirmée. III. Il n’est pas perçu de frais judicaires, ni alloué de dépens. La juge unique : La greffière : Du L'arrêt qui précède est notifié à : - A.B.________,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w:t>
      </w:r>
    </w:p>
    <w:p>
      <w:r>
        <w:t>- 12 -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