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ZG20.033893 vom 3. November 2020</w:t>
      </w:r>
    </w:p>
    <w:p>
      <w:r>
        <w:t>VD Tribunal cantonal, 2020-11-03, FR</w:t>
      </w:r>
    </w:p>
    <w:p>
      <w:r>
        <w:rPr>
          <w:b/>
        </w:rPr>
        <w:t xml:space="preserve">Quelle: </w:t>
      </w:r>
      <w:r>
        <w:t>https://mcp.opencaselaw.ch/entscheid/vd_gerichte_ZG20.033893</w:t>
      </w:r>
    </w:p>
    <w:p>
      <w:r>
        <w:t>FR: VD_GERICHTE ZG20.033893 du 3 novembre 2020</w:t>
      </w:r>
    </w:p>
    <w:p>
      <w:r>
        <w:t>IT: VD_GERICHTE ZG20.033893 del 3 novembre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d’allocations familiales (art. 1 LAFam [loi fédérale du 24 mars 2006 sur les allocations familiales ; RS 836.2]). Les</w:t>
      </w:r>
    </w:p>
    <w:p>
      <w:r>
        <w:t>- 4 - décisions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rPr>
          <w:b/>
        </w:rPr>
        <w:t>E. 2</w:t>
      </w:r>
    </w:p>
    <w:p>
      <w:r>
        <w:t>La décision sur opposition litigieuse a pour objet la recevabilité de l’opposition formée le 19 juin 2020 par A.S.________ à l’encontre de la décision 7 février 2020.</w:t>
      </w:r>
    </w:p>
    <w:p>
      <w:r>
        <w:rPr>
          <w:b/>
        </w:rPr>
        <w:t>E. 3</w:t>
      </w:r>
    </w:p>
    <w:p>
      <w:r>
        <w:t>a) Conformément à l’art. 52 al. 1 LPGA, les décisions peuvent être attaquées dans les trente jours par voie d'opposition auprès de l'assureur qui les a rendues, à l'exception des décisions d'ordonnancement de la procédure. b) L’opposition doit contenir des conclusions et être motivée (art. 10 al. 1 OPGA [ordonnance fédérale du 11 septembre 2002 sur la partie générale du droit des assurances sociales ; RS 830.11]). L’opposition écrite doit être signée par l’opposant ou par son représentant légal (art. 10 al. 4, première phrase, OPGA). Si l’opposition ne satisfait pas aux exigences de l’al. 1 ou si elle n’est pas signée, l’assureur impartit un délai convenable pour réparer le vice, avec l’avertissement qu’à défaut, l’opposition ne sera pas recevable (art. 10 al. 5 OPGA). c) Concernant le délai pour former opposition, l’art. 38 LPGA prévoit que si le délai, compté par jours ou par mois, doit être</w:t>
      </w:r>
    </w:p>
    <w:p>
      <w:r>
        <w:t>- 5 -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w:t>
      </w:r>
    </w:p>
    <w:p>
      <w:r>
        <w:t>- 6 - (conformément au principe général exprimé notamment à l’art. 8 CC [Code civil suisse du 10 décembre 1907 ; RS 210] – TF 1C_464/2008 du 25 novembre 2008 consid. 5.2 confirmé par TF 1F_1/2009 du 19 janvier 2009).</w:t>
      </w:r>
    </w:p>
    <w:p>
      <w:r>
        <w:rPr>
          <w:b/>
        </w:rPr>
        <w:t>E. 4</w:t>
      </w:r>
    </w:p>
    <w:p>
      <w:r>
        <w:t>a) En l’espèce, on ne peut que constater que l’opposition, formée en date du 19 juin 2020 à l’encontre d’une décision du 7 février 2020, est tardive, le délai pour former étant échu depuis près de trois mois. Le recourant n’a d’ailleurs fait valoir aucun élément qui l’aurait empêché de déposer l’acte de procédure en question. b) L’opposition en question doit ainsi être considérée comme tardive, sans qu’une restitution de délai ne soit justifiée. Dite opposition étant bel et bien irrecevable, le Centre patronal était fondé à la considérer comme telle.</w:t>
      </w:r>
    </w:p>
    <w:p>
      <w:r>
        <w:rPr>
          <w:b/>
        </w:rPr>
        <w:t>E. 5</w:t>
      </w:r>
    </w:p>
    <w:p>
      <w:r>
        <w:t>A titre superfétatoire, il y a lieu de relever que la décision du 7 février 2020 est bien fondée. Le recourant allègue que l’intimé n’avait pas mentionné les bases légales pertinentes à l’occasion de la décision entreprise. Or, la décision du 7 février 2020, qui fait partir l’octroi des allocations familiales au 1er décembre 2019 en indiquant comme motif qu’il s’agit du mois d’arrivée de l’enfant en Suisse, était suffisamment explicite pour que l’on puisse comprendre que le droit est refusé pour la période antérieure au motif que l’enfant n’était pas domicilié en Suisse, sans mention des bases légales pertinentes.</w:t>
      </w:r>
    </w:p>
    <w:p>
      <w:r>
        <w:rPr>
          <w:b/>
        </w:rPr>
        <w:t>E. 6</w:t>
      </w:r>
    </w:p>
    <w:p>
      <w:r>
        <w:t>a) Au vu de ce qui précède, le recours doit être rejeté et la décision sur opposition litigieuse confirmée.</w:t>
      </w:r>
    </w:p>
    <w:p>
      <w:r>
        <w:t>- 9 - b) Il n’y a pas lieu de percevoir de frais de justice, la procédure étant gratuite, ni d’allouer de dépens dès lors que le recourant, non représenté, n’obtient pas gain de cause (art. 61 let. a et g LPGA). Par ces motifs, le juge unique p r o n o n c e : I. Le recours est rejeté. II. La décision sur opposition rendue le 19 août 2020 par le Centre patronal, Service des allocations familiales, est confirmée. III. Il n’est pas perçu de frais judiciaires, ni alloué de dépens. La juge unique : Le greffier : Du L'arrêt qui précède est notifié à : - A.S.________, - Centre patronal, Service des 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