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ZG16.032256 vom 8. Juni 2017</w:t>
      </w:r>
    </w:p>
    <w:p>
      <w:r>
        <w:t>VD Tribunal cantonal, 2017-06-08, FR</w:t>
      </w:r>
    </w:p>
    <w:p>
      <w:r>
        <w:rPr>
          <w:b/>
        </w:rPr>
        <w:t xml:space="preserve">Quelle: </w:t>
      </w:r>
      <w:r>
        <w:t>https://mcp.opencaselaw.ch/entscheid/vd_gerichte_ZG16.032256</w:t>
      </w:r>
    </w:p>
    <w:p>
      <w:r>
        <w:t>FR: VD_GERICHTE ZG16.032256 du 8 juin 2017</w:t>
      </w:r>
    </w:p>
    <w:p>
      <w:r>
        <w:t>IT: VD_GERICHTE ZG16.032256 del 8 giugno 2017</w:t>
      </w:r>
    </w:p>
    <w:p>
      <w:pPr>
        <w:pStyle w:val="Heading2"/>
      </w:pPr>
      <w:r>
        <w:t>Erwägungen</w:t>
      </w:r>
    </w:p>
    <w:p>
      <w:r>
        <w:rPr>
          <w:b/>
        </w:rPr>
        <w:t>E. 1</w:t>
      </w:r>
    </w:p>
    <w:p>
      <w:r>
        <w:t>a) Les dispositions de la LPGA (loi fédérale du 6 octobre 2000 sur la partie générale du droit des assurances sociales ; RS 830.1)</w:t>
      </w:r>
    </w:p>
    <w:p>
      <w:r>
        <w:t>- 4 -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à raison du lieu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Le litige a pour objet le point de savoir si la recourante a droit aux allocations familiales pour la période postérieure au 31 août 2015.</w:t>
      </w:r>
    </w:p>
    <w:p>
      <w:r>
        <w:rPr>
          <w:b/>
        </w:rPr>
        <w:t>E. 3</w:t>
      </w:r>
    </w:p>
    <w:p>
      <w:r>
        <w:t>; TF 9C_647/2014 du 15 janvier 2015 consid. 4.2 et 9C_674/2008 du 18 juin 2009 consid. 2.2).</w:t>
      </w:r>
    </w:p>
    <w:p>
      <w:r>
        <w:t>- 6 - f) Les chiffres 3358 à 3360 des Directives concernant les rentes (DR) de l'assurance-vieillesse, survivants et invalidité fédérale ont la teneur suivante : 3358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3359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3360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w:t>
      </w:r>
    </w:p>
    <w:p>
      <w:r>
        <w:rPr>
          <w:b/>
        </w:rPr>
        <w:t>E. 4</w:t>
      </w:r>
    </w:p>
    <w:p>
      <w:r>
        <w:t>a) L'assureur social – et le juge des assurances sociales en cas de recours – doit examiner de manière objective tous les moyens de preuve, quelle qu’en soit la provenance, puis décider si les documents à</w:t>
      </w:r>
    </w:p>
    <w:p>
      <w:r>
        <w:t>- 7 - disposition permettent de porter un jugement valable sur le droit litigieux. Le juge apprécie librement les preuves, sans être lié par des règles formelles, en procédant à une appréciation complète et rigoureuse de celles-ci (art. 61 let. c LPGA). 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w:t>
      </w:r>
    </w:p>
    <w:p>
      <w:r>
        <w:rPr>
          <w:b/>
        </w:rPr>
        <w:t>E. 5</w:t>
      </w:r>
    </w:p>
    <w:p>
      <w:r>
        <w:t>a) En l'occurrence, il n'est pas contesté que V.________ a suivi, du 3 septembre 2012 au 31 août 2015, les cours préparatoires à l'examen suisse de maturité auprès de l'E.__________ sise à [...]. Selon les renseignements issus du site Internet de cette institution, il s'agit d'une formation à plein temps dont le but est de permettre aux élèves de l'école de pouvoir se présenter à l'une des sessions d'examen organisées deux fois l'an par la Confédération (art. 3 al. 1 de l'ordonnance du 7 décembre 1998 sur l'examen suisse de maturité [RS 413.12]). b) Il est également non contesté qu'à l'issue de cette formation, la fille de la recourante s'est présentée à la session d'été 2015 de l'examen suisse de maturité, au cours de laquelle elle a été examinée sur la totalité des douze disciplines de maturité (« examen complet » ; cf. art. 14 al. 1 et 20 al. 1 de l'ordonnance du 7 décembre 1998 sur l'examen suisse de maturité). Lors de cette session, V.________ a échoué à l'« examen complet » et était tenue de repasser les épreuves de toutes les disciplines dans lesquelles elle avait obtenu une note inférieure à 4, soit</w:t>
      </w:r>
    </w:p>
    <w:p>
      <w:r>
        <w:t>- 8 - six épreuves (cf. art. 26 al. 1 et 3 de l'ordonnance du 7 décembre 1998 sur l'examen suisse de maturité). c) Comme elle le reconnaît elle-même, la recourante n'a, hormis ses déclarations, apporté aucun élément de preuve permettant de démontrer la réalité de l'investissement temporel allégué. A teneur des renseignements recueillis, le candidat bénéficie d'une grande liberté, pouvant suivre les cours dispensés par une école privée ou se présenter en autodidacte. Le nombre d'heures nécessaires à la préparation à côté des cours dépend toutefois du candidat, c'est-à-dire de ses besoins personnels et du rythme de travail choisi (cf. courriel du 5 avril 2016 adressé à l'intimée par I._________, conseiller scientifique auprès du Secrétariat d'Etat à la formation, à la recherche et à l'innovation [SEFRI]). Dans la mesure où la fille de la recourante était désormais libérée des cours et ne devait répéter que la moitié des disciplines de l'examen suisse de maturité de sorte qu'il s'agissait tout au plus pour elle de reprendre les matières à répéter en approfondissant les points qui n'étaient pas maîtrisés, et non pas d'acquérir ex nihilo les matières à répéter, il paraît peu vraisemblable que celle-ci ait consacré quotidiennement entre cinq et dix heures de préparation depuis le mois de septembre 2015. Ce constat s'impose d'autant plus que l'intéressée ne s'est présentée au mois de février 2016 qu'aux examens de trois branches et que les trois autres branches ont été examinées au mois d'août 2016. En parallèle à ses répétitions, V.________ a par ailleurs décroché un emploi chez T.________ en mai 2016, indice supplémentaire qu'elle ne consacrait pas un temps prépondérant à sa formation (cf. le ch. 3360 des Directives concernant les rentes [DR] de l'assurance-vieillesse, survivants et invalidité fédérale). Aussi, la recourante échoue à établir, au degré de vraisemblance prépondérante requis (cf. consid. 4b supra), que V.________ a consacré, sur la période du 1er septembre 2015 jusqu'à sa réussite de l'examen suisse de maturité, plus de vingt heures par semaine à sa formation comme cette notion au sens de l'art. 49bis RAVS le requiert.</w:t>
      </w:r>
    </w:p>
    <w:p>
      <w:r>
        <w:t>- 9 -</w:t>
      </w:r>
    </w:p>
    <w:p>
      <w:r>
        <w:rPr>
          <w:b/>
        </w:rPr>
        <w:t>E. 6</w:t>
      </w:r>
    </w:p>
    <w:p>
      <w:r>
        <w:t>a) Sur le vu de ce qui précède, l'intimée était fondée à refuser d'allouer des allocations familiales à compter du 1er septembre 2015. Le recours doit en conséquence être rejeté et la décision sur opposition litigieuse confirmée. b) Il n’y pas lieu de percevoir de frais de justice, la procédure étant gratuite, ni d’allouer de dépens dès lors que la recourante, au demeurant non assistée des services d'un mandataire professionnel, n’obtient pas gain de cause (art. 61 let. a 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