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ZF25.041646 vom 12. März 2026</w:t>
      </w:r>
    </w:p>
    <w:p>
      <w:r>
        <w:t>VD Tribunal cantonal, 2026-03-12, FR</w:t>
      </w:r>
    </w:p>
    <w:p>
      <w:r>
        <w:rPr>
          <w:b/>
        </w:rPr>
        <w:t xml:space="preserve">Quelle: </w:t>
      </w:r>
      <w:r>
        <w:t>https://mcp.opencaselaw.ch/entscheid/vd_gerichte_ZF25.041646</w:t>
      </w:r>
    </w:p>
    <w:p>
      <w:r>
        <w:t>FR: VD_GERICHTE ZF25.041646 du 12 mars 2026</w:t>
      </w:r>
    </w:p>
    <w:p>
      <w:r>
        <w:t>IT: VD_GERICHTE ZF25.041646 del 12 marzo 2026</w:t>
      </w:r>
    </w:p>
    <w:p>
      <w:pPr>
        <w:pStyle w:val="Heading2"/>
      </w:pPr>
      <w:r>
        <w:t>Erwägungen</w:t>
      </w:r>
    </w:p>
    <w:p>
      <w:r>
        <w:rPr>
          <w:b/>
        </w:rPr>
        <w:t>E. 6</w:t>
      </w:r>
    </w:p>
    <w:p>
      <w:r>
        <w:t>a) En l’occurrence, le recourant fait pour l’essentiel valoir que les activités qu’il a exercées en 2021 et début 2022 sont sans lien avec celle qu’il avait pour le compte de R.________ Sàrl, et qu’il n’y a dès lors pas lieu d’en tenir compte. Il précise en outre qu’il a quoi qu’il en soit dû effectuer des tâches après la fermeture définitive […] de R.________ Sàrl, lesquelles correspondent à la logique des prestations APG qui visent à couvrir une perte effective de gain. La position du recourant ne peut toutefois être suivie. aa) Comme le retient l’intimée, l’indemnité ne peut être due que s’il existe une perte effective de revenu. Une simple baisse du chiffre d’affaires ou l’interruption d’une activité ne suffit pas si elle n’entraîne pas une perte économique effective. Lorsque d'autres revenus – notamment issus d'activités salariées ou annexes – compensent, voire dépassent, le revenu issu de l'activité prétendument affectée, aucun droit à l’allocation ne peut être reconnu. Il ressort de l’extrait du compte individuel AVS du recourant du</w:t>
      </w:r>
    </w:p>
    <w:p>
      <w:r>
        <w:rPr>
          <w:b/>
        </w:rPr>
        <w:t>E. 7</w:t>
      </w:r>
    </w:p>
    <w:p>
      <w:r>
        <w:t>a) Il résulte de ce qui précède que le recours doit être rejeté et la décision attaquée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