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ZF20.044463 vom 15. November 2021</w:t>
      </w:r>
    </w:p>
    <w:p>
      <w:r>
        <w:t>VD Tribunal cantonal, 2021-11-15, FR</w:t>
      </w:r>
    </w:p>
    <w:p>
      <w:r>
        <w:rPr>
          <w:b/>
        </w:rPr>
        <w:t xml:space="preserve">Quelle: </w:t>
      </w:r>
      <w:r>
        <w:t>https://mcp.opencaselaw.ch/entscheid/vd_gerichte_ZF20.044463</w:t>
      </w:r>
    </w:p>
    <w:p>
      <w:r>
        <w:t>FR: VD_GERICHTE ZF20.044463 du 15 novembre 2021</w:t>
      </w:r>
    </w:p>
    <w:p>
      <w:r>
        <w:t>IT: VD_GERICHTE ZF20.044463 del 15 novembre 2021</w:t>
      </w:r>
    </w:p>
    <w:p>
      <w:pPr>
        <w:pStyle w:val="Heading2"/>
      </w:pPr>
      <w:r>
        <w:t>Erwägungen</w:t>
      </w:r>
    </w:p>
    <w:p>
      <w:r>
        <w:rPr>
          <w:b/>
        </w:rPr>
        <w:t>E. 1</w:t>
      </w:r>
    </w:p>
    <w:p>
      <w:r>
        <w:t>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 RS 830.31]). Les décisions sur opposition et celles contre lesquelles la voie de l’opposition n’est pas ouverte peuvent faire l’objet d’un recours auprès du tribunal des assurances compétent (art. 56 al. 1 et 58 LPGA),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l’allocation pour perte de gain en cas de coronavirus pour la période du 17 mars 2020 au 27 avril 2020, et en particulier sur la prise en compte de sa décision de taxation fiscale relative à l’année 2019 comme base de calcul pour la détermination du droit à l’allocation.</w:t>
      </w:r>
    </w:p>
    <w:p>
      <w:r>
        <w:rPr>
          <w:b/>
        </w:rPr>
        <w:t>E. 3</w:t>
      </w:r>
    </w:p>
    <w:p>
      <w:r>
        <w:t>a) Selon l’art. 2 al. 3 de l’ordonnance sur les pertes de gain COVID-19, dans sa teneur en vigueur jusqu’au 16 septembre 2020, ont droit à l’allocation perte de gain les personnes considérées comme indépendantes au sens de l’art. 12 LPGA qui subissent une perte de gain en raison d’une mesure prévue à l’art. 6 al. 1 et 2 de l’ordonnance 2 COVID-19. L’art. 6 de l’ordonnance 2 COVID-19, entrée en vigueur le 17 mars 2020, prévoyait notamment qu’il était interdit d’organiser des manifestations publiques ou privées (al. 1), et que les établissements publics étaient fermés (al. 2). Selon l’art. 6 al. 3 let. m de l’ordonnance 2 COVID-19, l’al. 2 ne s’applique pas aux établissements de santé, tels qu’hôpitaux, cliniques et cabinets médicaux ainsi que cabinets et établissements gérés par des professionnels de la santé au sens du droit fédéral et cantonal. b) Visant les « cas de rigueur », l’art. 2 al. 3bis de l’ordonnance sur les pertes de gain COVID-19 (introduit le 19 juin 2020 avec effet rétroactif au 17 mars 2020 [RO 2020 2223]), prévoit que les personnes qui exercent une activité lucrative indépendante au sens de l’art. 12 LPGA, mais qui ne sont pas concernées par l’art. 2 al. 3, ont droit à l’allocation perte de gain si elles sont assurées obligatoirement au sens de la LAVS (loi fédérale du 20 décembre 1946 sur l’assurance-vieillesse et survivants ; RS 831.10), si elles subissent une perte de gain en raison des mesures prises par le Conseil fédéral afin de lutter contre le coronavirus et</w:t>
      </w:r>
    </w:p>
    <w:p>
      <w:r>
        <w:t>- 7 - si leur revenu déterminant pour le calcul des cotisations AVS de l’année 2019 se situe entre 10'000 fr. et 90'000 francs. c) L’art. 5 al. 2 de l’ordonnance sur les pertes de gain COVID- 19 (dans sa teneur en vigueur jusqu’au 16 septembre 2020) précise que pour déterminer le montant du revenu, l’art. 11 al. 1 LAPG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d)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e) En vertu de l’art. 7 al. 1 RAPG (règlement du 24 novembre 2004 sur les allocations pour perte de gain ; RS 834.11),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f) D’après le ch. 1041.3 de la CCPG (état au 3 juillet 2020), il y a lieu de se référer en principe, pour déterminer si le revenu est situé dans les limites indiquées (entre 10'000 et 90'000 fr.), au revenu de l’activité lucrative qui est retenu pour le décompte des cotisations 2019 (acomptes de cotisation). Selon le ch. 1065 de la CCPG, la base de calcul de l’indemnité pour les indépendants correspond en principe au revenu réalisé en 2019.</w:t>
      </w:r>
    </w:p>
    <w:p>
      <w:r>
        <w:t>- 8 -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Le ch. 1065.1 de la CCPG précise que lorsque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w:t>
      </w:r>
    </w:p>
    <w:p>
      <w:r>
        <w:rPr>
          <w:b/>
        </w:rPr>
        <w:t>E. 4</w:t>
      </w:r>
    </w:p>
    <w:p>
      <w:r>
        <w:t>a) L’ordonnance sur les pertes de gain COVID-19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(ATF 132 I 229 consid. 9-11 ; 125 II 326 consid. 3) et refuser de l'appliquer si elle viole les droits fondamentaux (ATF 141 I 20 consid. 4 et 132 I 229 consid. 10.1 et 11.2). Les ordonnances indépendantes se distinguent sous cet angle des ordonnances de substitution dites « dépendantes » que le Conseil fédéral adopte sur la base d'une délégation législative et qui peuvent profiter, dans certaines circonstances, de l'immunité constitutionnelle prévue à l'art. 190 Cst., dans la mesure où leur contenu est déterminé par une loi fédérale que le Tribunal fédéral ne peut en principe refuser d'appliquer (ATF 146 II 56 consid. 6.2.2 ; 141 II 169 consid. 3.4 ; TF 2D_32/2020 du 24 mars 2021 consid. 1.5, prévu pour publication). b) Les directives émises par l'OFAS ne créent pas de nouvelles règles de droit mais sont destinées à assurer l'application uniforme des prescriptions légales, en visant à unifier, voire à codifier la pratique des</w:t>
      </w:r>
    </w:p>
    <w:p>
      <w:r>
        <w:t>- 9 -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w:t>
      </w:r>
    </w:p>
    <w:p>
      <w:r>
        <w:rPr>
          <w:b/>
        </w:rPr>
        <w:t>E. 5</w:t>
      </w:r>
    </w:p>
    <w:p>
      <w:r>
        <w:t>Il y a tout d’abord lieu de relever que c’est à juste titre que l’intimée a examiné le droit à l’allocation sous l’angle de l’art. 2 al. 3bis de l’ordonnance sur les pertes de gain COVID-19. En effet, la fermeture des établissement publics ordonnée en vertu de l’art. 6 al. 2 de l’ordonnance 2 COVID-19 ne s’appliquait pas aux établissements de santé, tels que cabinets et établissements gérés par des professionnels de la santé au sens du droit fédéral et cantonal (art. 6 al. 3 let. m de l’ordonnance 2 COVID-19). Or, l’activité de logopédiste est bien une profession de la santé (art. 2 du règlement vaudois du 26 janvier 2011 sur l’exercice des professions de la santé [REPS ; BLV 811.01.1]). Les pièces produites par la recourante confirment d’ailleurs que les cabinets de logopédistes n’étaient pas visés par l’obligation de fermeture, même si leurs activités étaient certes soumises à des restrictions. Il ressort au demeurant des premières déclarations de la recourante du 3 septembre 2020 qu’elle avait pu continuer à travailler, mais que ses rendez-vous avec les patients avaient été réduits de moitié.</w:t>
      </w:r>
    </w:p>
    <w:p>
      <w:r>
        <w:rPr>
          <w:b/>
        </w:rPr>
        <w:t>E. 5.1</w:t>
      </w:r>
    </w:p>
    <w:p>
      <w:r>
        <w:t>; 142 I 195 consid. 6.1 ; 141 I 235 consid. 7.1 et les références citées).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w:t>
      </w:r>
    </w:p>
    <w:p>
      <w:r>
        <w:t>- 11 -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w:t>
      </w:r>
    </w:p>
    <w:p>
      <w:r>
        <w:rPr>
          <w:b/>
        </w:rPr>
        <w:t>E. 6</w:t>
      </w:r>
    </w:p>
    <w:p>
      <w:r>
        <w:t>a) Dans la décision attaquée, l’intimée a appliqué strictement les directives de l’OFAS et s’est fondée, pour déterminer le montant du revenu moyen de l’activité lucrative, sur la décision d’acompte du 29 avril 2019 qui fait mention d’un revenu de 110'000 fr., estimant qu’elle n’était</w:t>
      </w:r>
    </w:p>
    <w:p>
      <w:r>
        <w:t>- 10 - pas autorisée à se fonder sur une décision de taxation fiscale reçue après le 16 septembre 2020. b) La recourante a fait valoir que le revenu moyen de l’activité lucrative devait être fixé sur la base du revenu qu’elle a effectivement réalisé en 2019, soit 68'500 fr. selon la décision de taxation fiscale pour l’année 2019, ce qui lui donnait le droit à l’allocation pour perte de gain en cas de coronavirus. c) La Cour de céans a déjà été amenée à se prononcer sur la problématique de la prise en considération de la décision définitive de taxation pour l’année fiscale 2019 en vue de la détermination du revenu à prendre en compte pour le calcul de l’allocation pour perte de gain en cas de coronavirus et a considéré ce qui suit (notamment CASSO APG 42/20 – 12/2021 du 17 mai 2021 consid. 6 ; APG 32/20 – 15/2021 du 27 septembre 2021 consid. 6c) :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145 I 173 consid.</w:t>
      </w:r>
    </w:p>
    <w:p>
      <w:r>
        <w:rPr>
          <w:b/>
        </w:rPr>
        <w:t>E. 7</w:t>
      </w:r>
    </w:p>
    <w:p>
      <w:r>
        <w:t>a) Au vu de ce qui précède, le recours, bien fondé, doit être admis, la décision attaquée annulée et la cause renvoyée à l’intimée pour qu’elle fixe le montant de l’allocation pour perte de gain en lien avec le coronavirus auquel la recourante peut prétendre en tenant compte de la décision définitive de taxation pour 2019.</w:t>
      </w:r>
    </w:p>
    <w:p>
      <w:r>
        <w:t>- 12 - b) Il n’y a pas lieu de percevoir de frais judiciaires (art. 61 let. a LPGA dans sa teneur en vigueur jusqu’au 31 décembre 2020, applicable conformément à l’art. 82a LPGA). c)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