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ZF20.021855 vom 28. September 2020</w:t>
      </w:r>
    </w:p>
    <w:p>
      <w:r>
        <w:t>VD Tribunal cantonal, 2020-09-28, FR</w:t>
      </w:r>
    </w:p>
    <w:p>
      <w:r>
        <w:rPr>
          <w:b/>
        </w:rPr>
        <w:t xml:space="preserve">Quelle: </w:t>
      </w:r>
      <w:r>
        <w:t>https://mcp.opencaselaw.ch/entscheid/vd_gerichte_ZF20.021855</w:t>
      </w:r>
    </w:p>
    <w:p>
      <w:r>
        <w:t>FR: VD_GERICHTE ZF20.021855 du 28 septembre 2020</w:t>
      </w:r>
    </w:p>
    <w:p>
      <w:r>
        <w:t>IT: VD_GERICHTE ZF20.021855 del 28 settembre 2020</w:t>
      </w:r>
    </w:p>
    <w:p>
      <w:pPr>
        <w:pStyle w:val="Heading2"/>
      </w:pPr>
      <w:r>
        <w:t>Erwägungen</w:t>
      </w:r>
    </w:p>
    <w:p>
      <w:r>
        <w:rPr>
          <w:b/>
        </w:rPr>
        <w:t>E. 1</w:t>
      </w:r>
    </w:p>
    <w:p>
      <w:r>
        <w:t>a) Les dispositions de la loi fédérale du 6 octobre 2000 sur la partie générale du droit des assurances sociales (LPGA;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w:t>
      </w:r>
    </w:p>
    <w:p>
      <w:r>
        <w:t>- 4 -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(cf. art. 61 let. b LPGA), de sorte qu'il est recevable.</w:t>
      </w:r>
    </w:p>
    <w:p>
      <w:r>
        <w:rPr>
          <w:b/>
        </w:rPr>
        <w:t>E. 2</w:t>
      </w:r>
    </w:p>
    <w:p>
      <w:r>
        <w:t>Il n’est pas contesté que la recourante peut prétendre, au vu de sa situation, à l’octroi d’une allocation pour perte de gain en lien avec le coronavirus. Est litigieux en l’espèce le montant de l’allocation à laquelle elle peut prétendre.</w:t>
      </w:r>
    </w:p>
    <w:p>
      <w:r>
        <w:rPr>
          <w:b/>
        </w:rPr>
        <w:t>E. 3</w:t>
      </w:r>
    </w:p>
    <w:p>
      <w:r>
        <w:t>a) Selon l’art. 2 al. 3bis de l’Ordonnance sur les pertes de gain COVID-19, les personnes considérées comme indépendantes au sens de l’art. 12 LPGA qui ne sont pas concernées par l’al. 3 ont droit à l’allocation pour autant qu’elles soient assurées obligatoirement au sens de la loi fédérale du 20 décembre 1946 sur l’assurance-vieillesse et survivants (LAVS ; RS 831.10), qu’elles subissent une perte de gain en raison des mesures prises par le Conseil fédéral afin de lutter contre le coronavirus et que leur revenu déterminant pour le calcul des cotisations AVS de l’année 2019 se situe entre 10'000 et 90'000 francs. b) En vertu de l’art. 5 al. 1 de l’Ordonnance sur les pertes de gain COVID-19, l’indemnité journalière est égale à 80 % du revenu moyen de l’activité lucrative obtenu avant le début du droit à l’allocation. c) L’art. 5 al. 2 de l’Ordonnance sur les pertes de gain COVID- 19 précise que pour déterminer le montant du revenu, l’art. 11 al. 1 de la loi du 25 septembre 1952 sur les allocations pour perte de gain en cas de service et de maternité (LAPG ; RS 834.1) s’applique par analogie.</w:t>
      </w:r>
    </w:p>
    <w:p>
      <w:r>
        <w:t>- 5 - d) Conformément à l’art. 11 al. 1 LAPG, le revenu moyen acquis avant l’entrée en service est le revenu déterminant pour le calcul des cotisations dues conformément à la LAVS.</w:t>
      </w:r>
    </w:p>
    <w:p>
      <w:r>
        <w:rPr>
          <w:b/>
        </w:rPr>
        <w:t>E. 4</w:t>
      </w:r>
    </w:p>
    <w:p>
      <w:r>
        <w:t>a) D’après le ch. 1065 de la Circulaire de l’Office fédéral des assurances sociales (ci-après : l’OFAS) sur l’allocation pour perte de gain en cas de mesures destinées à lutter contre le coronavirus (CCPG),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b) Le ch. 1065.1 de la CCPG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w:t>
      </w:r>
    </w:p>
    <w:p>
      <w:r>
        <w:rPr>
          <w:b/>
        </w:rPr>
        <w:t>E. 5</w:t>
      </w:r>
    </w:p>
    <w:p>
      <w:r>
        <w:t>a) En l’espèce, l’intimée a appliqué strictement les directives de l’OFAS et s’est fondée, pour déterminer le montant du revenu moyen de l’activité lucrative, sur la décision définitive de cotisation relative à l’année 2017. b) Ainsi que la Cour de céans a déjà pu le constater récemment (CASSO APG 2/20 – 13/2020 du 18 septembre 2020), les ch. 1065 et 1065.1 de la CCPG sont conformes aux art. 11 al. 1 LAPG et 7 al. 1 du règlement du 24 novembre 2004 sur les allocations pour perte de gain (RAPG ; RS 834.11) ainsi qu’à la jurisprudence du Tribunal fédéral rendue</w:t>
      </w:r>
    </w:p>
    <w:p>
      <w:r>
        <w:t>- 6 - en matière d’allocation pour perte de gain (ATF 133 V 431 consid. 6.2.2 ; voir également TF 9C_253/2014 du 28 juillet 2014 consid. 4.3). c) En l’occurrence, rien ne permet d’établir que la recourante aurait requis une modification de ses acomptes de cotisations pour l’année 2019 préalablement à la promulgation de l’ordonnance sur les pertes de gain COVID-19. Si ce n’est la copie d’un courrier de sa fiduciaire daté du 28 novembre 2019 – que l’intimée affirme toutefois n’avoir pas reçu –, la recourante ne fournit aucun élément matériel susceptible d'étayer son allégation. A l’instar de l’intimée, il est permis de s’étonner que la recourante, après n’avoir pas reçu de décision portant modification des acomptes de cotisation pour l’année 2019 et s’être vue notifier le 13 février 2020 une décision relative aux cotisations pour l’année 2020 faisant état d’un revenu déterminant nul, n’ait pas eu de réactions particulières. En tout état de cause, les conséquences de l’absence de preuve de la remise de la demande de modification des acomptes pour l’année 2019 doivent être supportées par la recourante. d) Ainsi, l’intimée pouvait-elle se fonder sur la décision définitive de cotisation relative à l’année 2017 pour déterminer le montant du revenu moyen de l’activité lucrative.</w:t>
      </w:r>
    </w:p>
    <w:p>
      <w:r>
        <w:rPr>
          <w:b/>
        </w:rPr>
        <w:t>E. 6</w:t>
      </w:r>
    </w:p>
    <w:p>
      <w:r>
        <w:t>a) Mal fondé, le recours doit être rejeté et la décision attaquée confirmée. b) Il n’y a pas lieu de percevoir de frais judiciaires, la procédure étant gratuite (art. 61 let. a LPGA). c) La recourante ayant agi sans l'assistance d'un mandataire professionnel, elle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