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ZF11.011745 vom 4. Februar 2013</w:t>
      </w:r>
    </w:p>
    <w:p>
      <w:r>
        <w:t>VD Tribunal cantonal, 2013-02-04, FR</w:t>
      </w:r>
    </w:p>
    <w:p>
      <w:r>
        <w:rPr>
          <w:b/>
        </w:rPr>
        <w:t xml:space="preserve">Quelle: </w:t>
      </w:r>
      <w:r>
        <w:t>https://mcp.opencaselaw.ch/entscheid/vd_gerichte_ZF11.011745</w:t>
      </w:r>
    </w:p>
    <w:p>
      <w:r>
        <w:t>FR: VD_GERICHTE ZF11.011745 du 4 février 2013</w:t>
      </w:r>
    </w:p>
    <w:p>
      <w:r>
        <w:t>IT: VD_GERICHTE ZF11.011745 del 4 febbraio 2013</w:t>
      </w:r>
    </w:p>
    <w:p>
      <w:pPr>
        <w:pStyle w:val="Heading2"/>
      </w:pPr>
      <w:r>
        <w:t>Erwägungen</w:t>
      </w:r>
    </w:p>
    <w:p>
      <w:r>
        <w:rPr>
          <w:b/>
        </w:rPr>
        <w:t>E. 1</w:t>
      </w:r>
    </w:p>
    <w:p>
      <w:r>
        <w:t>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w:t>
      </w:r>
    </w:p>
    <w:p>
      <w:r>
        <w:t>- 6 -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w:t>
      </w:r>
    </w:p>
    <w:p>
      <w:r>
        <w:rPr>
          <w:b/>
        </w:rPr>
        <w:t>E. 2</w:t>
      </w:r>
    </w:p>
    <w:p>
      <w:r>
        <w:t>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w:t>
      </w:r>
    </w:p>
    <w:p>
      <w:r>
        <w:rPr>
          <w:b/>
        </w:rPr>
        <w:t>E. 3</w:t>
      </w:r>
    </w:p>
    <w:p>
      <w:r>
        <w:t>Le 26 avril 2007, le SSCM retourna à I’OFPP la totalité des formulaires des cas concernés avec les corrections apportées (colonne «correction par l[e] canton»). Sur ce, I’OFPP procéda à une première appréciation du bien-fondé des journées de protection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w:t>
      </w:r>
    </w:p>
    <w:p>
      <w:r>
        <w:rPr>
          <w:b/>
        </w:rPr>
        <w:t>E. 4</w:t>
      </w:r>
    </w:p>
    <w:p>
      <w:r>
        <w:t>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w:t>
      </w:r>
    </w:p>
    <w:p>
      <w:r>
        <w:t>- 7 -</w:t>
      </w:r>
    </w:p>
    <w:p>
      <w:r>
        <w:rPr>
          <w:b/>
        </w:rPr>
        <w:t>E. 5</w:t>
      </w:r>
    </w:p>
    <w:p>
      <w:r>
        <w:t>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w:t>
      </w:r>
    </w:p>
    <w:p>
      <w:r>
        <w:rPr>
          <w:b/>
        </w:rPr>
        <w:t>E. 6</w:t>
      </w:r>
    </w:p>
    <w:p>
      <w:r>
        <w:t>Par lettre du 14 mai 2008, le SSCM fit finalement savoir à l'OFAS qu’à l’exception de 6 cas, il était disposé à prendre à sa charge la somme à restituer pour les cas où l’allocation APG avait été versée à un employeur privé ou à la personne astreinte elle- 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la caisse à lui fournir copie des questionnaires APG des personnes astreintes au service de protection civile pour les années 2002 à 2005 (78 cas au total). L'office a également</w:t>
      </w:r>
    </w:p>
    <w:p>
      <w:r>
        <w:t>- 8 -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E n d r o i t : 1. a) Interjeté le 24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2'900 fr. 25 correspondant aux APG qui auraient été versées à tort en faveur de L.________ pour l'année 2003. 3. a) Selon l'art. 25 LPGA, les prestations indûment touchées doivent être restituées (al. 1 première phrase). Le droit de demander la restitution s'éteint un an après le moment où l'institution d'assurance a eu</w:t>
      </w:r>
    </w:p>
    <w:p>
      <w:r>
        <w:t>- 9 -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w:t>
      </w:r>
    </w:p>
    <w:p>
      <w:r>
        <w:t>- 10 -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L’allocation</w:t>
      </w:r>
    </w:p>
    <w:p>
      <w:r>
        <w:t>- 11 - est payée par la caisse de compensation auprès de laquelle la demande doit être présentée (art. 19 al. 2 LAPG). La loi fédérale du 17 juin 1994 sur la protection civile (LPCi; RO 1994 2626) et la loi fédérale du 4 octobre 1963 sur les constructions de protection civile (LCPCi; RO 1964 483) ont été abrogées et remplacées par la loi fédérale sur la protection de la population et sur la protection civile (LPPCi; RS 520.1) du 4 octobre 2002, entrée en vigueur le 1er janvier 2004. Pour ce qui est de la législation en vigueur jusqu'au 31 décembre 2003, seule applicable en l'espèce, l'art. 23 LPCi disposait que les personnes qui effectuaient un service de protection civile avaient droit à une allocation pour perte de gain, conformément aux dispositions de la LAPG. Dans ce contexte, pouvaient être indemnisés au maximum 40 jours de service par année civile et par personne astreinte (cf. 37 al. 3 LPCi). Aucune restriction n'était en revanche prévue pour les interventions en cas de catastrophe et dans d'autres situations extraordinaires (cf. art. 12 LPCi; cf. TF 9C_1057/2008 précité consid. 4.4; cf. rapport du Conseil fédéral du 26 octobre 2011 concernant les irrégularités dans le décompte des jours de service effectués pour la protection civile, p. 5, pouvant être consulté en ligne à l'adresse suivante : http://www.news.admin.ch/NSBSubscriber/message/attachments /24651.pdf). Pour le surplus, jusqu'à fin 2003, les interventions en faveur de la collectivité n'avaient pas l'étiquette de services autonomes; c'était dans le cadre de cours de répétition que de telles interventions pouvaient se dérouler (cf. rapport précité du Conseil fédéral du 26 octobre 2011, loc. cit.). L'OFPP surveillait l'exécution, par les cantons et les communes, des prescriptions de la Confédération (cf. art. 5 al. 2 let. b LPCi).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w:t>
      </w:r>
    </w:p>
    <w:p>
      <w:r>
        <w:t>- 12 - Le 2 février 2007,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(cf. déterminations de l'OFAS du 18 avril 2012, let. C supra).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w:t>
      </w:r>
    </w:p>
    <w:p>
      <w:r>
        <w:t>- 13 - en faisant preuve de l’attention que l’on pouvait raisonnablement exiger d’eux compte tenu des circonstances.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 contrairement à l'opinion défendue par l'OFAS et la CCVD (cf. réponse du 19 janvier 2012 p. 6 1er paragraphe)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(en l’occurrence 27 jours selon l’intimée, respectivement zéro jour selon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w:t>
      </w:r>
    </w:p>
    <w:p>
      <w:r>
        <w:t>- 14 - l'intimée aurait pu avoir avant avril 2007 – c'est-à-dire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28 février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 I. Le recours est admis. II. La décision sur opposition de la Caisse cantonale vaudoise de compensation AVS du 28 février 2011 est annulée. III. Le présent arrêt est rendu sans frais ni dépens. La juge unique : La greffière :</w:t>
      </w:r>
    </w:p>
    <w:p>
      <w:r>
        <w:t>- 15 - Du L'arrêt qui précède est notifié à : - Organisation régionale de la protection civile - Région E.________, -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