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ZE23.033433 vom 14. Juni 2024</w:t>
      </w:r>
    </w:p>
    <w:p>
      <w:r>
        <w:t>VD Tribunal cantonal, 2024-06-14, FR</w:t>
      </w:r>
    </w:p>
    <w:p>
      <w:r>
        <w:rPr>
          <w:b/>
        </w:rPr>
        <w:t xml:space="preserve">Quelle: </w:t>
      </w:r>
      <w:r>
        <w:t>https://mcp.opencaselaw.ch/entscheid/vd_gerichte_ZE23.033433</w:t>
      </w:r>
    </w:p>
    <w:p>
      <w:r>
        <w:t>FR: VD_GERICHTE ZE23.033433 du 14 juin 2024</w:t>
      </w:r>
    </w:p>
    <w:p>
      <w:r>
        <w:t>IT: VD_GERICHTE ZE23.033433 del 14 giugno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w:t>
      </w:r>
    </w:p>
    <w:p>
      <w:r>
        <w:t>- 5 - b) En l’occurrence, le recourant est touché par la décision sur opposition attaquée – qui déclare sans objet son opposition et équivaut à une décision de non-entrée en matière (TF 2C_869/2019 du 14 avril 2020 consid. 1.1) – et a un intérêt digne de protection à demander son annulation afin d'obtenir qu'il soit statué sur le fond de son opposition (ATF 135 II 145 consid. 3.1 ; 133 V 239 consid. 4).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Le litige porte sur le point de savoir si c’est à bon droit que l’intimée a déclaré sans objet l’opposition formée par l’assurée. b) Les conclusions sur le fond ne sont en principe pas admissibles contre une décision de radiation (TF 2C_869/2019 précité consid. 1.2 et les références). Partant, la conclusion implicite du recourant tendant à ce que le rabais soit calculé sur la prime d’assurance avant déduction de la redistribution de la taxe environnementale est irrecevable.</w:t>
      </w:r>
    </w:p>
    <w:p>
      <w:r>
        <w:rPr>
          <w:b/>
        </w:rPr>
        <w:t>E. 3</w:t>
      </w:r>
    </w:p>
    <w:p>
      <w:r>
        <w:t>a) La qualité pour former opposition n’est définie ni dans la loi ni dans l’OPGA (ordonnance du 11 septembre 2002 sur la partie générale du droit des assurances sociales ; RS 830.11). Elle doit être appréciée de manière identique à la qualité pour recourir selon l’art. 59 LPGA, de sorte que pour être admis à former opposition, l’opposant doit être touché par la décision et avoir un intérêt digne d’être protégé à ce qu’elle soit annulée ou modifiée (Valérie Défago Gaudin, in Dupont/Moser-Szeless [édit.], Loi sur la partie générale des assurances sociales, Commentaire romand, Bâle 2018, n° 16 ad art. 52 LPGA). L’art. 59 LPGA reconnaît la qualité pour recourir à celui qui dispose d’un intérêt digne de protection à l’annulation ou à la modification</w:t>
      </w:r>
    </w:p>
    <w:p>
      <w:r>
        <w:t>- 6 - de la décision litigieuse. L’intérêt doit résider dans l’utilité pratique que l’admission du recours apporterait à la partie recourante, en lui évitant de subir un préjudice de nature économique, idéale, matérielle ou autre que la décision attaquée lui occasionnerait (ATF 138 II 162 consid. 6.2). Il peut être factuel ou juridique. Il doit s’agir d’un intérêt propre de la partie recourante (et non de l’intérêt d’un tiers ou de la collectivité), d’un intérêt pratique et non pas seulement théorique ou virtuel, et d’un intérêt actuel au moment du dépôt du recours. Si l’intérêt au recours disparaît pendant la procédure, le recours devient sans objet et la cause est rayée du rôle (ATF 142 I 135 consid. 1.3.1 TF 5A_663/2023 du 3 novembre 2023 consid. 2.1.1 et les références).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(ATF 141 II 14 consid. 4.4 ; 136 II 101 consid. 1.1 ; Jean Métral, in Dupont/Moser-Szeless [édit.], op. cit., n° 11 ad art. 59 LPGA).</w:t>
      </w:r>
    </w:p>
    <w:p>
      <w:r>
        <w:rPr>
          <w:b/>
        </w:rPr>
        <w:t>E. 4</w:t>
      </w:r>
    </w:p>
    <w:p>
      <w:r>
        <w:t>a) D’après la décision attaquée, le litige aurait été vidé de sa substance par le versement par l’intimée au recourant de la somme de 1 fr. 20, correspondant à la différence entre l’application du rabais de 2 % sur la prime annuelle après la déduction de la redistribution de la taxe environnementale ou avant cette déduction. En conséquence, l’intimée a considéré que l’assuré ne disposait plus d’un intérêt digne de protection pour former opposition et qu’il convenait de rayer la cause du rôle. b) Le recourant s’oppose à ce point de vue. Il estime que le calcul du rabais sur la prime annuelle avant ou après déduction de la redistribution de la taxe environnementale est une question de principe qu’il convient de trancher, car celle-ci concerne de nombreux assurés et que ce calcul va se répéter chaque année. c) Dans la procédure d’opposition, l’objet du litige – tel que défini par la décision du 2 mai 2023 – portait sur le montant du rabais accordé à l’assuré par Y.________ lors du paiement annuel des primes pour</w:t>
      </w:r>
    </w:p>
    <w:p>
      <w:r>
        <w:t>- 7 - la période 2023. D’après l’assuré, le rabais de 2 % devait être calculé sur le montant des primes brutes, alors que l’intimée a calculé ce rabais sur la base des primes nettes dues par l’assuré, après la déduction relative à la taxe environnementale. La différence entre les deux méthodes de calcul s’élevait à 1 fr. 20 pour l’année 2023, montant qui a été versé par l’intimée à l’assuré le 24 juillet 2023. Dès ce moment, l’assurée n’avait plus d’intérêt propre et actuel à ce que son opposition soit traitée au fond, puisque l’issue du litige était sans conséquence pratique sur sa situation. En effet, dans la mesure où il souhaitait voir le rabais qui lui était accordé correspondre à celui calculé en fonction du montant de la prime annuelle avant déduction du montant de redistribution de la taxe environnementale, l’assuré a obtenu le rabais désiré avec le versement des 1 fr. 20 de la part d’Y.________. L’autorité se prononce sur des questions concrètes et non théoriques, si bien que l'intérêt actuel nécessaire fait défaut en particulier lorsque l'acte de l'autorité a été exécuté ou est devenu sans objet (ATF 125 II 86 consid. 5b et les arrêts cités). On ne saurait en outre voir une question de principe dans le mode de calcul du rabais, comme le fait valoir le recourant. Non seulement, celui-ci n’est pas habilité à agir pour l’ensemble des personnes assurées auprès de l’intimée qui ont opté pour le paiement annuel des primes. L’intérêt doit être propre, il ne doit pas s’agir de l’intérêt d’un tiers ou de la collectivité (ATF 133 II 468 consid. 1 ; 131 II 649 consid. 3.1 ; Jean Métral, in Dupont/Moser-Szeless [édit.], op. cit., n° 11 ad art. 59 LPGA). Mais de plus, ces autres assurés disposent des mêmes moyens de droit que le recourant pour s’opposer à la pratique de l’intimée s’ils la considèrent également comme illégale. Par ailleurs, les conditions posées par la jurisprudence pour renoncer à l’intérêt actuel ne sont pas réalisées en l’espèce. En effet, chaque année, l’intimée devra procéder à un nouveau calcul des primes qui pourra être contesté par tout assuré, y compris le recourant, pour autant qu’il soit toujours assuré auprès de celle-ci. La nature de l’affaire n’empêche par conséquent pas qu’elle soit tranchée à l’avenir.</w:t>
      </w:r>
    </w:p>
    <w:p>
      <w:r>
        <w:t>- 8 - Partant, c’est à juste titre que l’intimée a retenu que le recourant n’avait plus d’intérêt digne de protection à la poursuite de la procédure et qu’elle a rayé la cause du rôle.</w:t>
      </w:r>
    </w:p>
    <w:p>
      <w:r>
        <w:rPr>
          <w:b/>
        </w:rPr>
        <w:t>E. 5</w:t>
      </w:r>
    </w:p>
    <w:p>
      <w:r>
        <w:t>a) Le recours doit par conséquent être rejeté, dans la mesure où il est recevable, et la décision sur opposition du 31 juillet 2023 confirmée. b) La procédure ne porte pas sur l’octroi ou le refus de prestations d’assurance au sens de l’art. 61 let. f 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 100 fr. compte tenu de l’importance et de la difficulté de la cause (art. 4 al. 1 TFJDA). c) La partie recourante n’a pas droit à des dépens, dès lors qu’elle n’obtient pas gain de cause et qu’elle a procédé sans mandataire qualifié (art. 61 let. g LPGA ; ATF 127 V 205 consid. 4b). Par ces motifs, le juge unique p r o n o n c e : I. Le recours est rejeté, dans la mesure où il est recevable. II. La décision sur opposition rendue le 31 juillet 2023 par Y.________ est confirmée.</w:t>
      </w:r>
    </w:p>
    <w:p>
      <w:r>
        <w:t>- 9 - III. Les frais judiciaires, arrêtés à 100 fr. (cent francs), sont mis à la charge de R.________. IV. Il n’est pas alloué de dépens. Le juge unique : La greffière : Du L'arrêt qui précède est notifié à : - M. R.________,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