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ZE21.048463 vom 30. Mai 2022</w:t>
      </w:r>
    </w:p>
    <w:p>
      <w:r>
        <w:t>VD Tribunal cantonal, 2022-05-30, FR</w:t>
      </w:r>
    </w:p>
    <w:p>
      <w:r>
        <w:rPr>
          <w:b/>
        </w:rPr>
        <w:t xml:space="preserve">Quelle: </w:t>
      </w:r>
      <w:r>
        <w:t>https://mcp.opencaselaw.ch/entscheid/vd_gerichte_ZE21.048463</w:t>
      </w:r>
    </w:p>
    <w:p>
      <w:r>
        <w:t>FR: VD_GERICHTE ZE21.048463 du 30 mai 2022</w:t>
      </w:r>
    </w:p>
    <w:p>
      <w:r>
        <w:t>IT: VD_GERICHTE ZE21.048463 del 30 maggio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d’assurance-maladie (art. 1 al. 1 LAMal [loi fédérale du 18 mars 1994 sur l’assurance-maladie ; RS 832.10]). Les</w:t>
      </w:r>
    </w:p>
    <w:p>
      <w:r>
        <w:t>- 8 -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de la recourante à des prestations perte de gain maladie au-delà du 21 juin 2021, à charge de D.________.</w:t>
      </w:r>
    </w:p>
    <w:p>
      <w:r>
        <w:rPr>
          <w:b/>
        </w:rPr>
        <w:t>E. 3</w:t>
      </w:r>
    </w:p>
    <w:p>
      <w:r>
        <w:t>a) Aux termes de l’art. 67 al. 1 LAMal, toute personne qui est domiciliée en Suisse ou y exerce une activité lucrative et qui est âgée de quinze ans au moins mais n’a pas atteint l’âge de 65 ans peut conclure une assurance d’indemnités journalières avec un assureur. b) L’art. 72 al. 2 LAMal stipule que le droit aux indemnités journalières prend naissance lorsque l’assuré a une capacité de travail réduite au moins de moitié (art. 6 LPGA). Est constitutive d’une incapacité de travail au sens de l’art. 6 LPGA toute perte, totale ou partielle, de l'aptitude de l'assuré à accomplir dans sa profession ou son domaine d'activité le travail qui peut raisonnablement être exigé de lui, si cette perte résulte d'une atteinte à sa santé physique, mentale ou psychique.</w:t>
      </w:r>
    </w:p>
    <w:p>
      <w:r>
        <w:rPr>
          <w:b/>
        </w:rPr>
        <w:t>E. 4</w:t>
      </w:r>
    </w:p>
    <w:p>
      <w:r>
        <w:t>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w:t>
      </w:r>
    </w:p>
    <w:p>
      <w:r>
        <w:t>- 9 -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9C_631/2012 du 9 novembre 2012 consid. 3 ; 9C_584/2011 du 12 mars 2012 consid. 2.3 ; 9C_268/2011 du 26 juillet 2011 consid. 6.1.2 et les références citées). Cela vaut également lorsqu’un ou plusieurs médecins ont émis une opinion divergeant de celle de l’expert (TF 9C_268/2011 du 26 juillet 2011 consid. 6.1.2 et les références citées).</w:t>
      </w:r>
    </w:p>
    <w:p>
      <w:r>
        <w:rPr>
          <w:b/>
        </w:rPr>
        <w:t>E. 5</w:t>
      </w:r>
    </w:p>
    <w:p>
      <w:r>
        <w:t>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l’espèce, l’instruction menée par l’intimée est lacunaire – ce dont l’autorité devait se rendre compte au moment où elle a statué – et ne permet pas de se prononcer en connaissance de cause. Il convient par conséquent de renvoyer la cause à cette autorité, à qui il incombe en premier lieu d’instruire, conformément au principe inquisitoire qui régit la procédure dans le domaine des assurances sociales (art. 43 al. 1 LPGA). Il lui appartiendra dans un premier temps de constituer un dossier complet, en sollicitant notamment des rapports auprès des médecins traitant, avant de mettre en œuvre une expertise bidisciplinaire, comportant un volet rhumatologique et un volet psychiatrique. Les experts désignés disposeront de la faculté d’y associer toute autre spécialité médicale jugée opportune. Il incombera ensuite à l’intimée de rendre une nouvelle décision statuant sur les prétentions de la recourante, étant rappelé que lorsque l'administration rend une nouvelle décision après que la cause lui a été renvoyée pour instruction complémentaire, la limite temporelle de son examen ne s'étend pas seulement à la période courant jusqu'à la date de la décision initiale, mais également à la période postérieure à celle-ci jusqu'à la date de la nouvelle décision (TF 9C_457/2013 du 26 décembre 2013 consid. 5.2).</w:t>
      </w:r>
    </w:p>
    <w:p>
      <w:r>
        <w:t>- 14 -</w:t>
      </w:r>
    </w:p>
    <w:p>
      <w:r>
        <w:rPr>
          <w:b/>
        </w:rPr>
        <w:t>E. 6</w:t>
      </w:r>
    </w:p>
    <w:p>
      <w:r>
        <w:t>a) En conclusion, le recours doit être admis et la décision sur opposition litigieuse annulée, la cause étant renvoyée à l’intimée pour complément d’instruction au sens des considérations puis nouvelle décision. b) Il n’y a pas lieu de percevoir de frais judiciaires (art. 61 let. fbis LPGA), ni d’allouer de dépens, la partie recourante ayant procédé sans mandataire qualifié (ATF 127 V 205 consid. 4b).</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