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ZE20.044067 vom 7. Juni 2022</w:t>
      </w:r>
    </w:p>
    <w:p>
      <w:r>
        <w:t>VD Tribunal cantonal, 2022-06-07, FR</w:t>
      </w:r>
    </w:p>
    <w:p>
      <w:r>
        <w:rPr>
          <w:b/>
        </w:rPr>
        <w:t xml:space="preserve">Quelle: </w:t>
      </w:r>
      <w:r>
        <w:t>https://mcp.opencaselaw.ch/entscheid/vd_gerichte_ZE20.044067</w:t>
      </w:r>
    </w:p>
    <w:p>
      <w:r>
        <w:t>FR: VD_GERICHTE ZE20.044067 du 7 juin 2022</w:t>
      </w:r>
    </w:p>
    <w:p>
      <w:r>
        <w:t>IT: VD_GERICHTE ZE20.044067 del 7 giugno 2022</w:t>
      </w:r>
    </w:p>
    <w:p>
      <w:pPr>
        <w:pStyle w:val="Heading2"/>
      </w:pPr>
      <w:r>
        <w:t>Erwägungen</w:t>
      </w:r>
    </w:p>
    <w:p>
      <w:r>
        <w:rPr>
          <w:b/>
        </w:rPr>
        <w:t>E. 3</w:t>
      </w:r>
    </w:p>
    <w:p>
      <w:r>
        <w:t>a) Aux termes de l’art. 67 al. 1 LAMal, toute personne domiciliée en Suisse ou qui y exerce une activité lucrative, âgée de quinze ans révolus, mais qui n’a pas atteint 65 ans, peut conclure une assurance d’indemnités journalières avec un assureur. L'assurance facultative d'indemnités journalières selon les art. 67 ss LAMal est une assurance de perte de gain (TF 9C_332/2007 du 29 mai 2008 consid. 1.1 ; TFA K 65/99 du 17 février 2000 consid. 3d, RAMA 2000 n° KV 116 p. 145 ; K 33/98 du 17 juillet 1998 consid. 2, RAMA 1998 n° KV 43 p. 420). Le droit à une indemnité journalière est donc subordonné à ce que l'ayant droit subisse une perte de salaire ou de gain effective en raison d'une atteinte à la santé due à une maladie (TFA K 56/05 du 31 août 2006 consid. 3.3 ; K 74/02 du 16 avril 2004 consid. 2.1, RAMA 2004 n° KV 284 p. 236 ; K 129/00 du 20 juin 2001 consid. 2b, non publié aux ATF 127 V 154). b) D’après l’art. 72 al. 2 LAMal, le droit aux indemnités journalières prend naissance lorsque l’assuré a une capacité de travail réduite au moins de moitié (art. 6 LPGA).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(première phrase).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En ce sens, l'assurance</w:t>
      </w:r>
    </w:p>
    <w:p>
      <w:r>
        <w:t>- 15 - d'indemnités journalières n'assure l'incapacité de travail que dans les limites posées par l'obligation de diminuer le dommage (Gebhard Eugster, Krankenversicherung, in Schweizerisches Bundesverwaltungsrecht [SBVR], Soziale Sicherheit, 3e éd., Bâle 2016, n. 1461, 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w:t>
      </w:r>
    </w:p>
    <w:p>
      <w:r>
        <w:t>- 16 - déterminante pour le droit aux prestations doit être évaluée en fonction d’une autre activité lucrative exigible (Margit Moser-Szeless, in Anne- Sylvie Dupont/Margit Moser-Szeless [édit.], Loi sur la partie générale des assurances sociales, Commentaire romand, Bâle 2018, n° 34 à 36 ad art. 6 et les références). d) Le contrat d’assurance indemnité journalière conclu entre la Résidence Q.________ et Mutuel Assurance Maladie SA (n° 0079 – UN) prévoit, en cas de maladie, des prestations durant 730 jours dans une période de 900 jours, avec versement de 90 % du salaire, et un délai d’attente de 14 jours. L’art. 7 des conditions générales de l’assurance collective d’une indemnité journalière selon la LAMal (BEGM02-F11, Edition 1er janvier 2011) dispose notamment que l’indemnité journalière est versée pour une ou plusieurs incapacités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[suivent des cas de figure concernant des situations non pertinentes en l’espèce]</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- 17 -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rPr>
          <w:b/>
        </w:rPr>
        <w:t>E. 5</w:t>
      </w:r>
    </w:p>
    <w:p>
      <w:r>
        <w:t>a) Dans sa décision sur opposition, l’intimée, se fondant sur les expertises des Drs Z.________ et F.________ ainsi que sur les prises de position de son médecin-conseil, considère que la recourante a recouvré une pleine capacité de travail dans une activité adaptée.</w:t>
      </w:r>
    </w:p>
    <w:p>
      <w:r>
        <w:t>- 18 - Dans son recours, la recourante se prévaut notamment de l’existence de douleurs incapacitantes en toutes activités, des rapports de sa médecin traitant, la Dre X.________, attestant d’une totale incapacité de travail, du rapport d’E.________ du 1er octobre 2019 relatif à la mesure de réinsertion professionnelle mise en œuvre par l’office AI et retenant que son état n’était pas stabilisé, du constat par les organes de l’assurance- chômage de son inaptitude au placement (cf. décision du 28 avril 2020) et enfin de la nécessité d’un soutien à l’intégration d’une activité adaptée. Le rapport d’expertise bi-disciplinaire du Bureau d'expertises P.________ du 28 décembre 2020, à l’origine d’une suspension de cause, vient confirmer la position de l’intimée. b) Il convient tout d’abord de relever que, à l’exception de la Dre X.________, aucun des auteurs des rapports médicaux au dossier ne se prononce sur la capacité de travail. Tel est le cas du rapport du Dr J.________ du 16 janvier 2020 ainsi que de ceux établis les 9 mai et 5 août 2020 respectivement par les Drs V.________ et C.________. Les rapports de la Dre X.________ ne permettent pas de s’écarter des conclusions concordantes des experts Z.________ et W.________ ; selon eux, alors que la capacité de travail était nulle dans l’activité habituelle d’aide-soignante, elle était en revanche entière dans une activité adaptée aux limitations fonctionnelles décrites. Les limitations fonctionnelles plus sévères retenues par le Dr W.________ (pas de port fréquent de charges supérieures à 5 kg, pas de travail fréquent en-dessus de l’horizontale, pas de station debout, assise ou accroupie prolongées) ne sont pas déterminantes : en effet, il retient, à l’instar de son confrère Z.________, une capacité de travail entière dans une activité adaptée. Dans la mesure où la recourante dispose d'une capacité totale de travail sur le marché équilibré de l'emploi et pas uniquement dans un milieu protégé, il convient d’admettre que la nature et l'importance de sa pathologie ne constituent pas des obstacles irrémédiables à la reprise d'un travail sur un marché qui lui offre un éventail suffisamment large d'activités légères dont un nombre significatif est adapté à ses limitations fonctionnelles somatiques et accessibles sans aucune formation particulière. A cet égard, on peut citer</w:t>
      </w:r>
    </w:p>
    <w:p>
      <w:r>
        <w:t>- 19 - des tâches simples de surveillance, de vérification, de contrôle ou encore des tâches d'approvisionnement de machines ou d'unités de production automatiques ou semi-automatiques. S’agissant en particulier des atteintes physiques, la Dre X.________ n’objective pas l’incapacité de travail de 100 % qu’elle retient ; ainsi, aucun de ses rapports ne contient d’observations cliniques de sa patiente et les limitations plus sévères que celles retenues par le Dr Z.________, mentionnées notamment dans son attestation du 13 février 2020, sont manifestement anamnestiques (la patiente n'arrive pas à porter avec son bras droit plus de 5 kg ; subjectivement, elle se plaint de douleurs handicapantes et d’une fatigue importante ; elle n'arrive pas à porter des objets au-dessus de la tête ; elle est limitée pour exécuter des mouvements répétés avec l'épaule ; elle n'arrive pas à faire une rotation répétée de la tête vers la droite ; elle est capable de rester assise pendant 30 minutes au maximum ; elle doit changer de positions toutes les 30 minutes ; elle arrive à marcher sans charge pendant 60 minutes au maximum ; elle arrive à rester debout pendant 15 minutes au maximum ; elle n’arrive pas à faire des mouvements répétés avec le tronc ni à travailler le tronc plié ou accroupi). c) Cela étant, les experts somaticiens n’écartent pas l’existence de douleurs au vu des diagnostics posés. Ainsi, le Dr Z.________ a retenu des lombosciatalgies et des cervico-brachialgies (cf. rapport d’expertise du 11 novembre 2019, p. 6) tandis que, de son côté, le Dr W.________, a retenu un syndrome douloureux chronique de l’épaule droite (cf. rapport d’expertise du 28 décembre 2020, p. 14). Néanmoins, le Dr Z.________ estime que l’intensité des douleurs et leur répercussion sociale, personnelle et professionnelle, sont en relation avec la personne de l’assurée (cf. rapport complémentaire d’expertise orthopédique du 23 avril 2020). Sur ce point, le Dr F.________ a émis, avec réserve, un diagnostic de possible syndrome douloureux somatoforme persistant (F 45.4) tout en renvoyant à la nécessité d’un avis médical bi-disciplinaire pour le confirmer (cf. rapport d’expertise du 26 juin 2020, p. 19). De leur côté, les experts du Bureau d'expertises P.________ ont indiqué qu’ils ne retenaient pas de syndrome douloureux somatoforme persistant (F 45.4) en raison de la présence d’un substratum somatique suffisamment explicatif et compte</w:t>
      </w:r>
    </w:p>
    <w:p>
      <w:r>
        <w:t>- 20 - tenu de l’absence d’un état de détresse (cf. rapport d’expertise du 28 décembre 2020, p. 14). Quant à l’avis du psychologue K.________ retenant ce diagnostic, outre qu’il n’est pas objectivé, on observera qu’il n’émane pas d’un psychiatre (cf. attestation du 20 février 2020). d) Si le Dr A.________ n’a posé aucun diagnostic psychiatrique (cf. rapport d’expertise du 28 décembre 2020, p. 14), le diagnostic de trouble de l’adaptation avec une réaction dépressive brève (F 43.20) retenu par le Dr F.________ (cf. rapport du 26 juin 2020, p. 17) est, par définition, de durée limitée, outre qu’en l’occurrence, l’expert F.________ le considère sans influence sur la capacité de travail. Dans ce contexte, l’existence des atteintes psychiques mentionnées par la Dre X.________, soit un état anxio-dépressif (cf. rapports du 26 mars 2019 et 28 juin 2019 au médecin-conseil de l’intimée), auquel succède le diagnostic d’épisode dépressif « intense » (cf. attestations des 13 février et 6 avril 2020), ne s’avère pas convaincante. Outre que la Dre X.________ n’a pas de spécialisation FMH en psychiatrie, il apparaît, s’agissant de la gravité de l’épisode dépressif, qu’elle se réfère à l’échelle HAD (Hospital Anxiety and Depression Scale), laquelle est un test d’auto-évaluation, par définition subjectif. De plus, aucun de ces diagnostics n’est retenu par les experts F.________ et A.________, en particulier par le Dr F.________ qui examine la recourante quelques semaines après que la Dre X.________ fasse mention pour la première fois d’un épisode dépressif « intense ». Selon le constat du Dr F.________, si l’humeur était par moment triste, il n’était toutefois pas possible de parler d’une humeur dépressive à un degré nettement anormal. Quant au trouble somatoforme douloureux, que le Dr F.________ envisageait comme seulement possible en l’absence d’évaluation somatique, il a été ultérieurement exclu par l’expert psychiatre A.________, dans un contexte d’expertise bi-disciplinaire avec un co-expert spécialiste en médecine interne et rhumatologie. La mention</w:t>
      </w:r>
    </w:p>
    <w:p>
      <w:r>
        <w:t>- 21 - d’un tel trouble par le psychologue et psychothérapeute K.________ ne suffit en aucun cas à écarter l’avis expertal. Ainsi, seul le diagnostic de trouble de l’adaptation avec une réaction dépressive brève est établi lege artis. Il n’entraîne pas d’incapacité de travail à dire d’expert de telle sorte que point n’est besoin d’examiner les atteintes psychiques sous l’angle de la jurisprudence fédérale en matière d’évaluation du caractère incapacitant des affections psychiques et troubles assimilés (ATF 145 V 215 ; 143 V 418 consid. 6 et</w:t>
      </w:r>
    </w:p>
    <w:p>
      <w:r>
        <w:rPr>
          <w:b/>
        </w:rPr>
        <w:t>E. 7</w:t>
      </w:r>
    </w:p>
    <w:p>
      <w:r>
        <w:t>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