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ZE17.045696 vom 27. November 2017</w:t>
      </w:r>
    </w:p>
    <w:p>
      <w:r>
        <w:t>VD Tribunal cantonal, 2017-11-27, FR</w:t>
      </w:r>
    </w:p>
    <w:p>
      <w:r>
        <w:rPr>
          <w:b/>
        </w:rPr>
        <w:t xml:space="preserve">Quelle: </w:t>
      </w:r>
      <w:r>
        <w:t>https://mcp.opencaselaw.ch/entscheid/vd_gerichte_ZE17.045696</w:t>
      </w:r>
    </w:p>
    <w:p>
      <w:r>
        <w:t>FR: VD_GERICHTE ZE17.045696 du 27 novembre 2017</w:t>
      </w:r>
    </w:p>
    <w:p>
      <w:r>
        <w:t>IT: VD_GERICHTE ZE17.045696 del 27 novembre 2017</w:t>
      </w:r>
    </w:p>
    <w:p>
      <w:pPr>
        <w:pStyle w:val="Heading2"/>
      </w:pPr>
      <w:r>
        <w:t>Erwägungen</w:t>
      </w:r>
    </w:p>
    <w:p>
      <w:r>
        <w:rPr>
          <w:b/>
        </w:rPr>
        <w:t>E. 2</w:t>
      </w:r>
    </w:p>
    <w:p>
      <w:r>
        <w:t>En conséquence, E.________ annulera la poursuite n° [...] envoyée à ma fille A.R.________ et cela dans les meilleurs délais.</w:t>
      </w:r>
    </w:p>
    <w:p>
      <w:r>
        <w:rPr>
          <w:b/>
        </w:rPr>
        <w:t>E. 2.1</w:t>
      </w:r>
    </w:p>
    <w:p>
      <w:r>
        <w:t>; ATF 130 V 138 consid. 2.1 ; ATF 125 V 413 consid. 2c) ; qu’en l’espèce, la recourante conteste en substance être la débitrice des primes réclamées, soutenant qu’elle n’a pas signé de contrat avec l’intimée et que les documents établis par cette dernière stipulent que la débitrice des primes pour l’année 2016 est B.R.________, que la recourante conclut à ce que les primes soient réclamées à B.R.________ ou à W.________, dont l’administrateur unique, S.________, est responsable des très graves difficultés financières de B.R.________, que contrairement à ce que soutient la recourante, c’est elle qui est mentionnée comme débitrice des primes selon la police d’assurance établie le 9 avril 2016 par l’intimée, valable dès le 1er mai 2016, portant expressément l’indication que cette police remplace toutes les versions précédentes, que peu importe que la recourante n’ait pas signé de contrat avec l’intimée, qu’en effet toute personne domiciliée en Suisse doit s'assurer pour les soins en cas de maladie (art. 3 al. 1 LAMal), que la recourante, majeure depuis 2006, ne prétend pas être affiliée à une autre assurance qu’à l’intimée pour l’assurance-maladie de base, que la recourante est ainsi responsable du paiement des primes en cause,</w:t>
      </w:r>
    </w:p>
    <w:p>
      <w:r>
        <w:t>- 6 - que la responsabilité solidaire des parents à l’égard de l’assureur s’agissant de leur enfant mineur prend fin de plein droit à la majorité de l’enfant concerné (TF 9C_660/2007 du 25 avril 2008 consid. 3.2), que le fait que B.R.________ se soit acquittée des primes de l’intimée concernant la recourante pendant quelques années après la majorité de cette dernière ne change rien à ce qui précède, qu’il n’y a aucun lien juridique entre l'intimée et la société W.________, que celle-ci ne saurait dès lors devoir aucun montant à l’intimée, qu’au demeurant le calcul du montant réclamé ne fait l’objet d’aucune critique de la part de la recourante, que l’on ne voit d’ailleurs aucun motif de s’en écarter, qu’en conséquence, le recours doit être rejeté ; attendu qu’il n’y a pas lieu de percevoir de frais, la procédure étant gratuite, ni d’allouer de dépens (art. 61 let. a et g LPGA). Par ces motifs, la juge unique p r o n o n c e : I. Le recours est rejeté. II. La décision sur opposition rendue le 21 septembre 2017 par E.________ est confirmée.</w:t>
      </w:r>
    </w:p>
    <w:p>
      <w:r>
        <w:t>- 7 - III. Il n’est pas perçu de frais de justice, ni alloué de dépens. La juge unique : La greffière : Du L'arrêt qui précède est notifié à : - B.R.________ (pour A.R.________)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3</w:t>
      </w:r>
    </w:p>
    <w:p>
      <w:r>
        <w:t>En conséquence, E.________ mettra B.R.________ en poursuite pour les primes d’août à octobre 2016, car B.R.________ est la débitrice des primes 2016 ou alors E.________ réclamera le paiement des cotisations LAMal de ma fille A.R.________ à W.________, [...].</w:t>
      </w:r>
    </w:p>
    <w:p>
      <w:r>
        <w:rPr>
          <w:b/>
        </w:rPr>
        <w:t>E. 4</w:t>
      </w:r>
    </w:p>
    <w:p>
      <w:r>
        <w:t>En conséquence, tous les frais liés à cette affaire seront mis à la charge d’E.________ et non à la charge de A.R.________, ni à la charge de B.R.________, ou à la charge de la société W.________, [...] », vu la réponse du 15 novembre 2017 d’E.________, concluant au rejet du recours, vu les pièces du dossier ;</w:t>
      </w:r>
    </w:p>
    <w:p>
      <w:r>
        <w:t>- 4 -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 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w:t>
      </w:r>
    </w:p>
    <w:p>
      <w:r>
        <w:t>- 5 -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