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ZE17.034480 vom 8. Januar 2018</w:t>
      </w:r>
    </w:p>
    <w:p>
      <w:r>
        <w:t>VD Tribunal cantonal, 2018-01-08, FR</w:t>
      </w:r>
    </w:p>
    <w:p>
      <w:r>
        <w:rPr>
          <w:b/>
        </w:rPr>
        <w:t xml:space="preserve">Quelle: </w:t>
      </w:r>
      <w:r>
        <w:t>https://mcp.opencaselaw.ch/entscheid/vd_gerichte_ZE17.034480</w:t>
      </w:r>
    </w:p>
    <w:p>
      <w:r>
        <w:t>FR: VD_GERICHTE ZE17.034480 du 8 janvier 2018</w:t>
      </w:r>
    </w:p>
    <w:p>
      <w:r>
        <w:t>IT: VD_GERICHTE ZE17.034480 del 8 gennaio 2018</w:t>
      </w:r>
    </w:p>
    <w:p>
      <w:pPr>
        <w:pStyle w:val="Heading2"/>
      </w:pPr>
      <w:r>
        <w:t>Erwägungen</w:t>
      </w:r>
    </w:p>
    <w:p>
      <w:r>
        <w:rPr>
          <w:b/>
        </w:rPr>
        <w:t>E. 1</w:t>
      </w:r>
    </w:p>
    <w:p>
      <w:r>
        <w:t>a) Les dispositions de la LPGA (loi fédérale du 6 octobre 2000 sur la partie générale du droit des assurances sociales ; RS 830.1) s'appliquent à l'assurance-maladie (art. 1 al. 1 LAMal).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al. 1 LPGA). Dans le canton de Vaud, la LPA-VD (loi cantonale vaudoise du 28 octobre 2008 sur la procédure administrative ; RSV 173.36) s'applique aux recours et contestations par voie d'action dans le domaine des assurances sociales (art. 2 al. 1 let. c LPA-VD). Au vu de la valeur litigieuse du cas d’espèce, inférieure à 30'000 fr. (3'660 fr. 70 selon le devis du 12 août 2016 du Dr M.________), un membre de la Cour des assurances sociales du Tribunal cantonal est compétent pour statuer en qualité de juge unique (art. 93 let. a et 94 al. 1 let. a LPA-VD). b) Interjeté dans le délai légal de trente jours dès la notification de la décision attaquée (art. 60 al. 1 LPGA), le recours a été</w:t>
      </w:r>
    </w:p>
    <w:p>
      <w:r>
        <w:t>- 7 - déposé en temps utile ; il satisfait en outre aux autres conditions légales (art. 61 let. b LPGA notamment), de sorte qu'il est recevable en la forme.</w:t>
      </w:r>
    </w:p>
    <w:p>
      <w:r>
        <w:t>- 8 -</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RCC 1985 p. 53). b) Est litigieuse en l'espèce la prise en charge, par l'intimée, des frais induits par le traitement dentaire tel que résultant du devis du Dr M.________ du 12 août 2016, soit dans la phase provisoire l’extraction de la dent 21 et son remplacement par une prothèse partielle provisoire supérieure et dans sa phase définitive, la mise en place d’un implant dentaire endo-osseux en position 21, ainsi que la confection d’une couronne définitive implantoportée.</w:t>
      </w:r>
    </w:p>
    <w:p>
      <w:r>
        <w:rPr>
          <w:b/>
        </w:rPr>
        <w:t>E. 3</w:t>
      </w:r>
    </w:p>
    <w:p>
      <w:r>
        <w:t>effets secondaires irréversibles de médicaments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- 10 - raisonnablement en considération (ATF 139 V 176 consid. 5.3 et les références citées ; TF 9C_189/2015 du 11 septembre 2015 consid. 5.1). Il n’existe aucun principe juridique dictant à l’administration ou au juge de statuer en faveur de l’assuré en cas de doute (ATF 135 V 39 consid. 6.1 et les références citées ; TF 8C_195/2015 du 10 février 2016 consid. 2.3.3). b)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 TF 9C_718/2015 du 22 mars 2016 consid. 5.2),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et les références citées ; TF 8C_94/2016 du 30 janvier 2017 consid. 6.1 et 9C_694/2014 du 1er avril 2015 consid. 3.2).</w:t>
      </w:r>
    </w:p>
    <w:p>
      <w:r>
        <w:rPr>
          <w:b/>
        </w:rPr>
        <w:t>E. 5</w:t>
      </w:r>
    </w:p>
    <w:p>
      <w:r>
        <w:t>En l’occurrence, le recourant, se référant aux avis des Drs M.________, T.________ et V.________, soutient que le traitement de la dent 21 est dû à un granulome dentaire interne idiopathique. L’intimée, quant à elle, se rallie aux avis des 25 août 2016, 11 avril 2017 et 22 octobre 2017 du Dr N.________, son médecin-dentiste-conseil, en ce sens que le traitement dentaire en question ne saurait être pris en charge en l’absence de lien de causalité établi. a) Il n’est pas contesté qu’un granulome interne idiopathique survient sur une dent vivante, munie d’une pulpe, puisqu’il est la conséquence inflammatoire de la pulpe. Or, la dent 21 du recourant ayant bénéficié d’un traitement de racine il y a plus de trente ans, elle était dépourvue d’une pulpe vivante, raison pour laquelle un granulome interne</w:t>
      </w:r>
    </w:p>
    <w:p>
      <w:r>
        <w:t>- 11 - idiopathique n’a pas pu se développer en 2016 et entraîner l’extraction de la dent 21 et la mise en place d’un implant. b) Il sied toutefois d’examiner si, comme le soutient le recourant, le traitement de racine sur la dent 21 a été réalisé en raison d’un granulome dentaire interne idiopathique. Dans le cadre de son instruction complémentaire, l’intimée a demandé au recourant la production des radiographies avant le traitement endodontique, ainsi que des précisions quant à la date et aux motifs du traitement. Le 14 février 2017, le recourant a admis que le traitement de racine avait été effectué trente ans auparavant et qu’il n’avait pas d’autres documents radiographiques que ceux déjà en la possession de l’intimée. C’est dans ce contexte que le Dr M.________ a émis l’hypothèse que « vraisemblablement le traitement de racine a[vait] été réalisé pour stopper la résorption interne du granulome » et qu’il « [était] donc sûrement préalable au traitement de racine » (courrier du 28 novembre 2016). A la demande du Dr M.________, le Prof T.________ a conclu dans son rapport du 31 mai 2017 que la biopsie reçue le 23 juin 2016 avait un « aspect en accord avec un granulome interne ». Il a relevé qu’il s’agissait d’une dent monoradiculée comportant au sein de la dentine une cavité vide. Sur ses bords, il existait des lacunes de résorption sans dentinoclaste. Le professeur a également noté la présence sur certains niveaux de coupe d’un petit lambeau du ligament alvéolo-dentaire dépourvu d’infiltrat inflammatoire et d’un peu de muqueuse sans particularité. Il a toutefois ajouté dans un courriel ultérieur adressé à son patient, produit le 9 octobre 2017 par l’intéressé, que ce qui comptait dans ce type de cas étaient les documents fournis par le ou les médecins traitants, lesquels font précisément défaut en l’occurrence. Quant au Dr V.________, il a affirmé de manière péremptoire qu’au vu de la radiographie à disposition avec traitement de racine, on ne pouvait écarter un granulome idiopathique dentaire. c) La Cour de céans retient que la réalisation d’un traitement de racine n’est pas toujours consécutive à l’apparition d’un granulome</w:t>
      </w:r>
    </w:p>
    <w:p>
      <w:r>
        <w:t>- 12 - dentaire interne idiopathique, mais peut résulter d’un traumatisme, d’une infection dentaire ou parodontale ou d’une résorption externe (avis du 22 octobre 2017 du Dr N.________). Un lien de causalité entre un granulome dentaire interne idiopathique annoncé trente ans après son éventuelle survenance et le traitement dentaire en litige n'apparaît dès lors pas établi au degré de vraisemblance prépondérante requis, faute de document radiologique ou d’attestation médico-dentaire de l’époque relatifs à la dent 21. On doit ainsi considérer qu’un granulome dentaire interne idiopathique constitue une hypothèse parmi d'autres dans la réalisation d’un traitement de racine, sans qu'il soit possible médicalement d'en déterminer précisément l'origine, faute de documents antérieurs au traitement litigieux. Les conclusions du Dr N.________ s’avèrent probantes et emportent l’adhésion de l’autorité de céans. Son appréciation ne saurait être remise en question par les rapports des médecins-dentistes du recourant, singulièrement ceux du Dr M.________ et du Prof T.________, ni par les autres pièces produites, dès lors qu’aucun de ces documents ne renferme un développement permettant de contrebalancer à satisfaction de droit la position et les conclusions du médecin-dentiste-conseil de l’intimée. Au surplus, dans le cadre de la présente procédure, le recourant n’a apporté aucune preuve supplémentaire permettant de soutenir ou de rendre vraisemblable ses allégations.</w:t>
      </w:r>
    </w:p>
    <w:p>
      <w:r>
        <w:t>- 13 - d) En conséquence, c’est à juste titre que l’intimée a refusé de prendre en charge les frais liés au traitement dentaire du recourant selon devis du 12 août 2016 pour un montant de 3'660 fr. 70.</w:t>
      </w:r>
    </w:p>
    <w:p>
      <w:r>
        <w:rPr>
          <w:b/>
        </w:rPr>
        <w:t>E. 6</w:t>
      </w:r>
    </w:p>
    <w:p>
      <w:r>
        <w:t>a) Au vu de ce qui précède, le recours doit être rejeté et la décision attaquée confirmée. b) Il n’y a pas lieu de percevoir de frais judiciaires, la procédure étant gratuite (art. 61 let. a LPGA), ni d’allouer de dépens, le recourant – qui a au demeurant agi sans l’aide d’un mandataire professionnel – n’obtenant pas gain de cause (art. 61 let. g LPGA). Par ces motifs, la juge unique p r o n o n c e : I. Le recours est rejeté. II. La décision sur opposition rendue le 18 juillet 2017 par B.________ SA est confirmée. III. Il n’est pas perçu de frais judiciaires, ni alloué de dépens. La juge unique : La greffière : Du L'arrêt qui précède est notifié à : - K.________, - B.________ SA, - Office fédéral de la santé publique,</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