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ZE15.029075 vom 10. Februar 2016</w:t>
      </w:r>
    </w:p>
    <w:p>
      <w:r>
        <w:t>VD Tribunal cantonal, 2016-02-10, FR</w:t>
      </w:r>
    </w:p>
    <w:p>
      <w:r>
        <w:rPr>
          <w:b/>
        </w:rPr>
        <w:t xml:space="preserve">Quelle: </w:t>
      </w:r>
      <w:r>
        <w:t>https://mcp.opencaselaw.ch/entscheid/vd_gerichte_ZE15.029075</w:t>
      </w:r>
    </w:p>
    <w:p>
      <w:r>
        <w:t>FR: VD_GERICHTE ZE15.029075 du 10 février 2016</w:t>
      </w:r>
    </w:p>
    <w:p>
      <w:r>
        <w:t>IT: VD_GERICHTE ZE15.029075 del 10 febbraio 2016</w:t>
      </w:r>
    </w:p>
    <w:p>
      <w:pPr>
        <w:pStyle w:val="Heading2"/>
      </w:pPr>
      <w:r>
        <w:t>Erwägungen</w:t>
      </w:r>
    </w:p>
    <w:p>
      <w:r>
        <w:rPr>
          <w:b/>
        </w:rPr>
        <w:t>E. 1</w:t>
      </w:r>
    </w:p>
    <w:p>
      <w:r>
        <w:t>LAMal). L’absence de qualité pour agir du recourant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 r o n o n c e : I. Le recours est irrecevable. II. La cause est rayée du rôle. III. Il n’est pas perçu de frais judiciaires, ni alloué de dépens. La juge unique : Le greffier :</w:t>
      </w:r>
    </w:p>
    <w:p>
      <w:r>
        <w:t>- 10 - Du L'arrêt qui précède est notifié à : - Me Jean-Louis Duc, avocat (pour V.________), - Easy Sana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