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ZE15.018943 vom 11. September 2015</w:t>
      </w:r>
    </w:p>
    <w:p>
      <w:r>
        <w:t>VD Tribunal cantonal, 2015-09-11, FR</w:t>
      </w:r>
    </w:p>
    <w:p>
      <w:r>
        <w:rPr>
          <w:b/>
        </w:rPr>
        <w:t xml:space="preserve">Quelle: </w:t>
      </w:r>
      <w:r>
        <w:t>https://mcp.opencaselaw.ch/entscheid/vd_gerichte_ZE15.018943</w:t>
      </w:r>
    </w:p>
    <w:p>
      <w:r>
        <w:t>FR: VD_GERICHTE ZE15.018943 du 11 septembre 2015</w:t>
      </w:r>
    </w:p>
    <w:p>
      <w:r>
        <w:t>IT: VD_GERICHTE ZE15.018943 del 11 settembre 2015</w:t>
      </w:r>
    </w:p>
    <w:p>
      <w:pPr>
        <w:pStyle w:val="Heading2"/>
      </w:pPr>
      <w:r>
        <w:t>Erwägungen</w:t>
      </w:r>
    </w:p>
    <w:p>
      <w:r>
        <w:rPr>
          <w:b/>
        </w:rPr>
        <w:t>E. 1</w:t>
      </w:r>
    </w:p>
    <w:p>
      <w:r>
        <w:t>LAMal). L’absence de qualité pour agir du recourant devant le tribunal arbitral est sans incidence, l’art. 89 al. 1 LAMal étant une disposition impérative qui ne saurait être vidée de sa substance par une cession de créance.</w:t>
      </w:r>
    </w:p>
    <w:p>
      <w:r>
        <w:rPr>
          <w:b/>
        </w:rPr>
        <w:t>E. 3</w:t>
      </w:r>
    </w:p>
    <w:p>
      <w:r>
        <w:t>Le recours est ainsi irrecevable et doit être rayé du rôle. Il n’y a pas lieu de percevoir de frais, la procédure étant gratuite (art. 61 let. a LPGA). Quoique l’intimée obtienne gain de cause, elle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 r o n o n c e : I. Le recours est irrecevable. II. La cause est rayée du rôle. III. Il n’est pas perçu de frais judiciaires, ni alloué de dépens. La juge unique : Le greffier :</w:t>
      </w:r>
    </w:p>
    <w:p>
      <w:r>
        <w:t>- 11 - Du L'arrêt qui précède est notifié à : - Me Jean-Louis Duc, avocat, (pour M.________),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