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ZE14.050951 vom 22. Oktober 2015</w:t>
      </w:r>
    </w:p>
    <w:p>
      <w:r>
        <w:t>VD Tribunal cantonal, 2015-10-22, FR</w:t>
      </w:r>
    </w:p>
    <w:p>
      <w:r>
        <w:rPr>
          <w:b/>
        </w:rPr>
        <w:t xml:space="preserve">Quelle: </w:t>
      </w:r>
      <w:r>
        <w:t>https://mcp.opencaselaw.ch/entscheid/vd_gerichte_ZE14.050951</w:t>
      </w:r>
    </w:p>
    <w:p>
      <w:r>
        <w:t>FR: VD_GERICHTE ZE14.050951 du 22 octobre 2015</w:t>
      </w:r>
    </w:p>
    <w:p>
      <w:r>
        <w:t>IT: VD_GERICHTE ZE14.050951 del 22 ottobre 2015</w:t>
      </w:r>
    </w:p>
    <w:p>
      <w:pPr>
        <w:pStyle w:val="Heading2"/>
      </w:pPr>
      <w:r>
        <w:t>Erwägungen</w:t>
      </w:r>
    </w:p>
    <w:p>
      <w:r>
        <w:rPr>
          <w:b/>
        </w:rPr>
        <w:t>E. 1</w:t>
      </w:r>
    </w:p>
    <w:p>
      <w:r>
        <w:t>a) Les dispositions de la LPGA (loi fédérale sur la partie générale du droit des assurances sociales du 6 octobre 2000 ; RS 830.1) s’appliquent à l’assurance-maladie (art. 1 al. 1 LAMal [loi fédérale du 18 mars 1994 sur l’assurance-maladie ;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w:t>
      </w:r>
    </w:p>
    <w:p>
      <w:r>
        <w:t>- 7 - compétence d’un membre de la Cour des assurances sociales, statuant comme juge unique (cf. art. 94 al. 1 let. a LPA-VD).</w:t>
      </w:r>
    </w:p>
    <w:p>
      <w:r>
        <w:rPr>
          <w:b/>
        </w:rPr>
        <w:t>E. 2</w:t>
      </w:r>
    </w:p>
    <w:p>
      <w:r>
        <w:t>Le litige porte sur la prise en charge par l’intimée, au titre de l’assurance obligatoire des soins, des frais liés à l’hospitalisation de la recourante au Sri Lanka du 31 mai au 4 juin 2014, à hauteur de 1'152 fr. 95.</w:t>
      </w:r>
    </w:p>
    <w:p>
      <w:r>
        <w:rPr>
          <w:b/>
        </w:rPr>
        <w:t>E. 3</w:t>
      </w:r>
    </w:p>
    <w:p>
      <w:r>
        <w:t>a)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Ces prestations comprennent notamment les examens, traitements et soins dispensés en milieu hospitalier, ainsi que les analyses, médicaments, moyens et appareils diagnostiques ou thérapeutiques prescrits par un médecin (al. 2 let. a et b). L'art. 32 al. 1, 1ère phrase LAMal précise que les prestations mentionnées aux art. 25 à 31 de cette loi doivent être efficaces, appropriées et économiques. Selon l’art. 34 al. 2 LAMaI, le Conseil fédéral peut décider de la prise en charge, par l’assurance obligatoire des soins, des coûts des prestations prévues aux art. 25 al. 2 ou 29 LAMaI fournies à l’étranger pour des raisons médicales. Se fondant sur cette délégation de compétence, l’autorité exécutive a édicté l’art. 36 OAMaI (ordonnance du 27 juin 1995 sur l'assurance-maladie ; RS 832.102), intitulé « Prestations à l’étranger ». Aux termes de l’al. 1 de cette disposition, le département désigne, après avoir consulté la commission compétente, les prestations prévues aux art. 25 al. 2 et 29 LAMal dont les coûts occasionnés à l’étranger sont pris en charge par l’assurance obligatoire des soins lorsqu’elles ne peuvent être fournies en Suisse. L’art. 36 al. 2 OAMaI dispose en outre que l’assurance obligatoire des soins prend en charge le coût des traitements effectués en cas d’urgence à l’étranger. Il y a</w:t>
      </w:r>
    </w:p>
    <w:p>
      <w:r>
        <w:t>- 8 - urgence lorsque l’assuré, qui séjourne temporairement à l’étranger, a besoin d’un traitement médical et qu’un retour en Suisse n’est pas approprié. Ce qui est donc déterminant, c’est que l’assuré ait subitement besoin et de manière imprévue d’un traitement à l’étranger ; il faut que des raisons médicales s’opposent à un report du traitement et qu’un retour en Suisse apparaisse inapproprié (TF 9C_11/2007 du 4 mars 2008 consid. 3.2 et les références citées). Pour le surplus, la prise en charge de toute prestation demeure soumise aux principes généraux d’efficacité, d’adéquation et d’économicité (cf. art. 32 LAMaI).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- 9 - paraissent les plus probables (ATF 126 V 353 consid. 5b, 125 V 193 consid. 2 et les références ; cf. aussi ATF 130 III 321 consid. 3.2 et 3.3 ; TF 9C_995/2010 du 1er décembre 2011 consid. 3.2). c)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 cf. aussi ATF 130 I 180 consid. 3.2). Aussi n’existe-t-il pas, en droit des assurances sociales, un principe selon lequel l’administration ou le juge devrait statuer, dans le doute, en faveur de l’assuré (ATF 126 V 319 consid. 5a).</w:t>
      </w:r>
    </w:p>
    <w:p>
      <w:r>
        <w:rPr>
          <w:b/>
        </w:rPr>
        <w:t>E. 4</w:t>
      </w:r>
    </w:p>
    <w:p>
      <w:r>
        <w:t>juin 2014 au Sri Lanka pour une cellulite à la jambe droite. L’intimée était donc légitimée à refuser le remboursement desdits frais médicaux. Il convient d’ajouter qu’à supposer que le traitement auprès du K.________ ait été établi, il ne répondrait en tous les cas pas aux exigences générales d’efficacité, d’adéquation et d’économicité au sens de l’art. 32 LAMal. En effet, de l’avis du médecin-conseil de l’intimée, une</w:t>
      </w:r>
    </w:p>
    <w:p>
      <w:r>
        <w:t>- 11 - hospitalisation de cinq jours était inadéquate pour un problème de cellulite à la jambe droite, et il n’était pas nécessaire d’effectuer des analyses urinaires pour poser le diagnostic ou pour adapter le traitement, ni de réaliser des analyses sanguines quotidiennement. Il regrettait aussi l’absence de prise de la température, alors qu’il était indiqué que la recourante avait eu de la fièvre. En outre, il convient d’admettre que le traitement facturé ne correspond pas aux prix courants pratiqués dans l’établissement en question et dans le pays en général. Les tarifs indiqués au sein du K.________ prévoient 500 LKR pour une chambre, 2'000 LKR pour une consultation médicale et un forfait maximal de 25'000 LKR pour les médicaments comprenant les frais d’hôpitaux et portant sur une prise de médicament trois fois par jour sur une durée d’une semaine (cf. rapport d’[...] du 13 août 2014). Or le détail des prestations figurant dans le rapport médical du Dr J.________ indique un montant de 4'500 LKR pour une consultation médicale et 5'000 LKR pour une chambre, puis un montant total de 169’550 LKR. Des frais de repas pour une somme de 10'000 LKR figurent également sur la facture alors que l’établissement ne prévoit pas ce type de service. L’attestation des [...] du 6 septembre 2014 produite par l’intimée a au demeurant confirmé la surfacturation des prix dans cet établissement. Dans ces circonstances, l’intimée était légitimée à refuser la prise en charge du montant de 1'152 fr. 95 pour ces raisons également.</w:t>
      </w:r>
    </w:p>
    <w:p>
      <w:r>
        <w:rPr>
          <w:b/>
        </w:rPr>
        <w:t>E. 5</w:t>
      </w:r>
    </w:p>
    <w:p>
      <w:r>
        <w:t>a) Il résulte de ce qui précède que la décision sur opposition du 7 novembre 2014, par laquelle G.________SA a confirmé son refus de prise en charge d’un montant de 1'152 fr. 95 relatif à l’hospitalisation du 31 mai au 4 juin 2014 de la recourante au Sri Lanka pour une cellulite de la jambe droite,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n’obtenant pas gain de cause et n’étant pas</w:t>
      </w:r>
    </w:p>
    <w:p>
      <w:r>
        <w:t>- 12 - représentée par un mandataire professionnel (art. 55 LPA-VD ; cf. art. 61 let. g LPGA). Par ces motifs, la juge unique p r o n o n c e : I. Le recours est rejeté. II. La décision sur opposition rendue le 7 novembre 2014 par G.________SA est confirmée. III. Il n’est pas perçu de frais de justice ni alloué de dépens. La juge unique : La greffière : Du L'arrêt qui précède est notifié à : - A.R.________, - G.________SA,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