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ZE12.033582 vom 29. April 2013</w:t>
      </w:r>
    </w:p>
    <w:p>
      <w:r>
        <w:t>VD Tribunal cantonal, 2013-04-29, FR</w:t>
      </w:r>
    </w:p>
    <w:p>
      <w:r>
        <w:rPr>
          <w:b/>
        </w:rPr>
        <w:t xml:space="preserve">Quelle: </w:t>
      </w:r>
      <w:r>
        <w:t>https://mcp.opencaselaw.ch/entscheid/vd_gerichte_ZE12.033582</w:t>
      </w:r>
    </w:p>
    <w:p>
      <w:r>
        <w:t>FR: VD_GERICHTE ZE12.033582 du 29 avril 2013</w:t>
      </w:r>
    </w:p>
    <w:p>
      <w:r>
        <w:t>IT: VD_GERICHTE ZE12.033582 del 29 aprile 2013</w:t>
      </w:r>
    </w:p>
    <w:p>
      <w:pPr>
        <w:pStyle w:val="Heading2"/>
      </w:pPr>
      <w:r>
        <w:t>Erwägungen</w:t>
      </w:r>
    </w:p>
    <w:p>
      <w:r>
        <w:rPr>
          <w:b/>
        </w:rPr>
        <w:t>E. 5</w:t>
      </w:r>
    </w:p>
    <w:p>
      <w:r>
        <w:t>En définitive, la recourante invoque sa situation financière, ainsi que celle de son époux pour justifier le non-paiement des primes litigieuses, arguant que lesdites primes doivent être prises en charge par le biais de subsides. a) Aux termes de l'art. 65 al. 1 LAMal, les cantons accordent des réductions de primes aux assurés de condition économique modeste. Selon la jurisprudence, les règles édictées par les cantons en matière de réduction des primes dans l'assurance-maladie constituent du droit cantonal autonome (ATF 131 V 202 consid. 3.2 p. 207, et les références). Lorsqu'il octroie un subside destiné à la réduction des primes d'assurance- maladie, le canton se substitue – totalement ou partiellement – à l'assuré pour le paiement de ses primes, sous réserve de l'hypothèse – exceptionnelle et non réalisée en l'espèce - où le subside est versé directement à l'assuré. S'il ne bénéficie plus d'un tel subside, que ce soit à titre provisoire – dans l'attente de la décision de l'autorité compétente pour l'octroi dudit subside – ou définitif, l'assuré est tenu de s'acquitter de l'intégralité des primes fixées par l'assureur (TF K 13/06 du 29 juin 2007, consid. 4.5). Quand bien même cette situation peut le mettre dans de sérieuses difficultés financières, l'assuré ne peut refuser de payer ses primes dans l'attente de ce que le droit à un éventuel subside à l'assurance-maladie lui soit reconnu à titre rétroactif. Pour remédier à cette situation, le législateur a chargé les cantons de veiller à ce que les montants versés au titre de la réduction des primes le soient de manière à ce que les ayants droit n'aient pas à satisfaire à l'avance à leur obligation de payer les primes (art. 65 al. 3 LAMal; Message concernant l'arrêté fédéral sur les subsides fédéraux dans l'assurance-maladie et la révision partielle de la loi fédérale sur l'assurance-maladie du 21 septembre 1998, FF 1999 775). Cette invitation aux cantons à légiférer en la matière ne change cependant rien au fait qu'en l'absence de l'octroi effectif d'une réduction de primes, les assureurs sont tenus par le droit fédéral (art. 90 al. 1 et 4 OAMal) d'exiger le paiement de l'intégralité des primes dues dès lors que celles-ci sont échues (cf. RAMA 2006 p. 325 consid. 5.2.1, TFA K 72/05 du 14 août 2006, et RSAS 2003 p. 545 consid. 3.2, TFA K 18/03 du 16 mai 2003).</w:t>
      </w:r>
    </w:p>
    <w:p>
      <w:r>
        <w:t>- 10 - b) En l'absence du versement effectif d'un subside à la couverture des primes de l'assurance-maladie pour l'année 2011, l'intimée n'a pas violé le droit fédéral, dès lors qu'elle n'a pas à tenir compte au moment de prélever les primes de l'existence d'une éventuelle procédure en cours d'octroi de subside à l'assurance-maladie, élément qui reste en l'espèce à l'état d'allégué.</w:t>
      </w:r>
    </w:p>
    <w:p>
      <w:r>
        <w:rPr>
          <w:b/>
        </w:rPr>
        <w:t>E. 6</w:t>
      </w:r>
    </w:p>
    <w:p>
      <w:r>
        <w:t>a) Il s'ensuit que la décision attaquée doit être confirmée, ce qui conduit au rejet du recours dans la mesure où il est recevable. b) La procédure étant gratuite, il n'y a pas lieu de percevoir de frais judiciaires (art. 61 let. a LPGA), ni d'allouer de dépens vu l'issue du litige (art. 61 let. g LPGA et 55 LPA-VD). Par ces motifs, le juge unique p r o n o n c e : I. Le recours est rejeté. II. La décision sur opposition rendue le 15 juin 2012 par la Caisse P.________ est confirmée. III. Il n'est pas perçu de frais judiciaires. IV. Il n'est pas alloué de dépens. Le juge unique : La greffière : Du</w:t>
      </w:r>
    </w:p>
    <w:p>
      <w:r>
        <w:t>- 11 - L'arrêt qui précède est notifié à : - W.________ (recourante), à [...], - Caisse P.________ (intimée), à [...], - Office fédéral de la santé publique,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