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ZE12.028368 vom 20. November 2012</w:t>
      </w:r>
    </w:p>
    <w:p>
      <w:r>
        <w:t>VD Tribunal cantonal, 2012-11-20, FR</w:t>
      </w:r>
    </w:p>
    <w:p>
      <w:r>
        <w:rPr>
          <w:b/>
        </w:rPr>
        <w:t xml:space="preserve">Quelle: </w:t>
      </w:r>
      <w:r>
        <w:t>https://mcp.opencaselaw.ch/entscheid/vd_gerichte_ZE12.028368</w:t>
      </w:r>
    </w:p>
    <w:p>
      <w:r>
        <w:t>FR: VD_GERICHTE ZE12.028368 du 20 novembre 2012</w:t>
      </w:r>
    </w:p>
    <w:p>
      <w:r>
        <w:t>IT: VD_GERICHTE ZE12.028368 del 20 novembre 2012</w:t>
      </w:r>
    </w:p>
    <w:p>
      <w:pPr>
        <w:pStyle w:val="Heading2"/>
      </w:pPr>
      <w:r>
        <w:t>Erwägungen</w:t>
      </w:r>
    </w:p>
    <w:p>
      <w:r>
        <w:rPr>
          <w:b/>
        </w:rPr>
        <w:t>E. 32</w:t>
      </w:r>
    </w:p>
    <w:p>
      <w:r>
        <w:t>al. 1 LAMal, puisque les statistiques médicales démontrent qu'à partir de l'âge de 40 ans, la fertilité est fortement diminuée chez la femme. La décision attaquée est ainsi justifiée pour ce second motif. Cela étant, en l'absence de données relatives à l'âge, au taux de réussite du traitement et au coût de celui-ci, le point de savoir si le critère de l'économie est réalisé peut quoi qu'il en soit être laissé indécis.</w:t>
      </w:r>
    </w:p>
    <w:p>
      <w:r>
        <w:t>- 11 - 3. a) Il résulte de ce qui précède que le recours, mal fondé, doit être rejeté, ce qui entraîne la confirmation de la décision attaquée. b) Il n'y a pas lieu de percevoir des frais de justice, la procédure étant gratuite (art. 45 LPA-VD et art. 61 let. a LPGA), ni d'allouer de dépens (art. 55 LPA-VD et art. 61 let. g LPGA). Par ces motifs, le juge unique p r o n o n c e : I. Le recours est rejeté. II. La décision sur opposition rendue le 23 juillet 2012 par Assurance ________ SA est confirmée. III. Il n'est pas perçu de frais de justice ni alloué de dépens. Le juge unique : Le greffier : Du L'arrêt qui précède est notifié à : - Mme R.________, - Assurance ________ SA, - Office fédéral de sa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- 12 -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