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ZE12.017685 vom 29. Juli 2013</w:t>
      </w:r>
    </w:p>
    <w:p>
      <w:r>
        <w:t>VD Tribunal cantonal, 2013-07-29, FR</w:t>
      </w:r>
    </w:p>
    <w:p>
      <w:r>
        <w:rPr>
          <w:b/>
        </w:rPr>
        <w:t xml:space="preserve">Quelle: </w:t>
      </w:r>
      <w:r>
        <w:t>https://mcp.opencaselaw.ch/entscheid/vd_gerichte_ZE12.017685</w:t>
      </w:r>
    </w:p>
    <w:p>
      <w:r>
        <w:t>FR: VD_GERICHTE ZE12.017685 du 29 juillet 2013</w:t>
      </w:r>
    </w:p>
    <w:p>
      <w:r>
        <w:t>IT: VD_GERICHTE ZE12.017685 del 29 luglio 2013</w:t>
      </w:r>
    </w:p>
    <w:p>
      <w:pPr>
        <w:pStyle w:val="Heading2"/>
      </w:pPr>
      <w:r>
        <w:t>Erwägungen</w:t>
      </w:r>
    </w:p>
    <w:p>
      <w:r>
        <w:rPr>
          <w:b/>
        </w:rPr>
        <w:t>E. 30</w:t>
      </w:r>
    </w:p>
    <w:p>
      <w:r>
        <w:t>juin 2009 et à conduire à un jugement différent en fonction d’une appréciation juridique correcte. En effet, le succès d'une telle intervention n'est pas une condition de sa prise en charge. b) Selon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119 V 475 consid. 1b/cc, 117 V 8 consid. 2a; TF 9C_447/2007 du 10 juillet 2008, consid. 1; Kieser, ATSG-Kommentar, 2ème éd., n°44 ad art. 53). Une administration refuse d'entrer en matière sur une demande de reconsidération lorsqu'elle se borne à procéder à un examen sommaire de la requête et répète les motifs invoqués dans la décision initiale (ATF 117 V 8 consid. 2b/aa, TF 8C_866/2009 du 27 avril 2010, consid. 2.2).</w:t>
      </w:r>
    </w:p>
    <w:p>
      <w:r>
        <w:t>- 13 - aa)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bb) Dans le cas présent, l'intimée n'est pas entrée en matière sur la demande de reconsidération. Même si tel était le cas, les conditions de celle-ci ne seraient pas réunies dès lors que comme rappelé ci-dessus, l'intimée a refusé de prendre en charge l'intervention pratiquée en Allemagne et que l'amélioration consécutive de l'état de santé de la recourante n'est pas un élément susceptible de modifier cette décision. 5. a) Il s'ensuit que la décision attaquée doit être confirmée, ce qui conduit au rejet du recours.</w:t>
      </w:r>
    </w:p>
    <w:p>
      <w:r>
        <w:t>- 14 - b) La procédure étant gratuite, il n'y a pas lieu de percevoir de frais judiciaires (art. 61 let. a LPGA), ni d'allouer de dépens vu l'issue du litige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