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ZE12.003614 vom 12. Juni 2014</w:t>
      </w:r>
    </w:p>
    <w:p>
      <w:r>
        <w:t>VD Tribunal cantonal, 2014-06-12, FR</w:t>
      </w:r>
    </w:p>
    <w:p>
      <w:r>
        <w:rPr>
          <w:b/>
        </w:rPr>
        <w:t xml:space="preserve">Quelle: </w:t>
      </w:r>
      <w:r>
        <w:t>https://mcp.opencaselaw.ch/entscheid/vd_gerichte_ZE12.003614</w:t>
      </w:r>
    </w:p>
    <w:p>
      <w:r>
        <w:t>FR: VD_GERICHTE ZE12.003614 du 12 juin 2014</w:t>
      </w:r>
    </w:p>
    <w:p>
      <w:r>
        <w:t>IT: VD_GERICHTE ZE12.003614 del 12 giugno 2014</w:t>
      </w:r>
    </w:p>
    <w:p>
      <w:pPr>
        <w:pStyle w:val="Heading2"/>
      </w:pPr>
      <w:r>
        <w:t>Erwägungen</w:t>
      </w:r>
    </w:p>
    <w:p>
      <w:r>
        <w:rPr>
          <w:b/>
        </w:rPr>
        <w:t>E. 1</w:t>
      </w:r>
    </w:p>
    <w:p>
      <w:r>
        <w:t>organise, à la demande du bénéficiaire, les consultations médicales nécessaires (médecin, hôpital, analyses, interventions chirurgicales…),</w:t>
      </w:r>
    </w:p>
    <w:p>
      <w:r>
        <w:rPr>
          <w:b/>
        </w:rPr>
        <w:t>E. 2</w:t>
      </w:r>
    </w:p>
    <w:p>
      <w:r>
        <w:t>avance pour le compte de P.________ Assurances SA jusqu’à concurrence de CHF 10'000.- par bénéficiaire et par sinistre les frais d’hospitalisation ou les frais de traitements ambulatoires dépassant la contre-valeur de CHF 1'000.-,</w:t>
      </w:r>
    </w:p>
    <w:p>
      <w:r>
        <w:rPr>
          <w:b/>
        </w:rPr>
        <w:t>E. 3</w:t>
      </w:r>
    </w:p>
    <w:p>
      <w:r>
        <w:t>organise le rapatriement du bénéficiaire à son domicile après traitement dès que sa condition le permet par tout moyen de transport public adéquat dans la mesure où le titre de transport initialement prévu par le bénéficiaire pour son retour au pays de résidence est inutilisable ;</w:t>
      </w:r>
    </w:p>
    <w:p>
      <w:r>
        <w:rPr>
          <w:b/>
        </w:rPr>
        <w:t>E. 3.2</w:t>
      </w:r>
    </w:p>
    <w:p>
      <w:r>
        <w:t>; TFA K_65/03 du 5 août 2003 c. 2.1 ; Eugster, Krankenversicherung, in : Schweizerisches Bundesverwaltungsrecht [SBVR], Soziale Sicherheit, 2e éd. 2007, n° 475 ss p. 560 s.). Les prestations visées aux al. 1 et 2 de l'art. 36 OAMaI sont prises en charge jusqu’à concurrence du double du montant qui aurait été payé si le traitement avait eu lieu en Suisse (art. 36 al 4 in initio OAMaI). S’agissant de traitements à l’étranger, que ce soit dans des cas d’urgence ou lorsque le traitement ne peut pas être prodigué en Suisse, le législateur a considéré qu’il était nécessaire de fixer une limite à la prise en charge des coûts. Le législateur préconisait du reste de s’inspirer de l’art. 17 OLAA (ordonnance du 20 décembre 1982 sur l'assurance-accidents ; RS 832.202), disposition selon laquelle les frais occasionnés par un traitement médical nécessaire subi à l’étranger ne sont remboursés que jusqu’à concurrence du double du montant de ceux qui seraient résultés d’un traitement en Suisse (Message concernant la révision de l’assurance- maladie du 6 novembre 1991, FF 1992 I 144). Pour le surplus, la prise en charge de toute prestation demeure soumise aux principes généraux d’efficacité, d’adéquation et d’économicité (cf. art. 32 LAMal). b) En l’espèce, la réalité de la maladie (diverticulites) dont a souffert la recourante n’est pas contestée. La condition de l’urgence postulée à l’art. 36 al. 2 OAMal est en outre à l’évidence réalisée. La caractère approprié du traitement n’est pas non plus litigieux. Est par contre litigieux l’étendue du droit aux prestations. Alors que la recourante soutient avoir droit au remboursement de la facture de l’Hôpital M.________</w:t>
      </w:r>
    </w:p>
    <w:p>
      <w:r>
        <w:t>- 10 - à hauteur 9'453 fr., l’intimée admet dans la décision attaquée sa prise en charge à hauteur de 5'164 fr. 10, en expliquant qu’il convient d’allouer, au titre de l’assurance obligatoire des soins, le forfait APDRG applicable pour un séjour dans un hôpital public dans le canton de Vaud, avec la référence n° 179 « maladie inflammatoire de l’intestin » en vigueur en 2010 au Centre hospitalier universitaire vaudois (ci-après : CHUV). La recourante reproche à l’intimé l’absence d’avis au dossier de son médecin-conseil sur le choix du forfait APDRG. S’il apparaît certes que le médecin-conseil de P.________ n’a pas été consulté, il n’en demeure pas moins que la recourante ne prétend pas que le choix de l’assurance quant au forfait APDRG et au n° 179 soit erroné ni a fortiori en quoi il le serait. Par ailleurs, la recourante fait valoir que le montant à la charge de l’assurance devrait également tenir compte de la subvention. Or l’art. 36 al. 4 OAMal ne concerne que les montants facturés à l’assurance obligatoire des soins. On ne voit pas que celle-ci soit contrainte de prendre à sa charge les subventions qui ne sont par définition pas à la charge de l’assurance-maladie. Au vu de ce qui précède, on peut retenir que si le traitement hospitalier avait été prodigué en Suisse, il se serait élevé à 2'582 fr. 05 eu égard au forfait APDRG, n° 179 « maladie inflammatoire de l’intestin », en vigueur au CHUV en 2010 (valeur du point assureur dans le hôpitaux universitaires somatiques : 4'522 fr. x cost-weights n° 179 : 0.571 ; cf. Convention vaudoise d’hospitalisation somatique aigue 2010, particulièrement Annexes 1 et 8). La recourante ayant souffert de diverticulites sans qu’une opération n’ait été pratiquée, il ne se justifie dès lors pas de s’écarter du forfait précité. Conformément au texte de l’art. 36 al. 4 OAMal, les prestations visées à l’al. 2 de cette disposition sont prises en charge jusqu’à concurrence du double du montant qui aurait été payé si le traitement avait eu lieu en Suisse. Ainsi, l’étendue du droit aux prestations se limitent à 5164 fr. 10.</w:t>
      </w:r>
    </w:p>
    <w:p>
      <w:r>
        <w:t>- 11 -</w:t>
      </w:r>
    </w:p>
    <w:p>
      <w:r>
        <w:rPr>
          <w:b/>
        </w:rPr>
        <w:t>E. 4</w:t>
      </w:r>
    </w:p>
    <w:p>
      <w:r>
        <w:t>La recourante reproche à l’intimée une violation de son devoir d’information.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 4 ; TF 9C_865/2010 du 8 juin 2011 c. 5.2 ; Rubin, L’obligation de renseigner et de conseiller dans le domaine de l’assurance-ch6mage, in : DTA 2008 p. 97, spéc. pp. 100 ss).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w:t>
      </w:r>
    </w:p>
    <w:p>
      <w:r>
        <w:t>- 12 - bonne foi découlant de l’art. 9 Cst. (Constitution fédérale de la Confédération suisse du 18 avril 1999 ; RS 101). Parmi les conditions posées par la jurisprudence (cf. ATF 131 II 627 c. 6.1), il faut que l’absence de renseignement ou de conseil ait conduit l’assuré à adopter un comportement préjudiciable (TF 8C_406/2010 du 18 mai 2011 c. 5.3 et la référence).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 7.2 ; TF 9C_557/2010 du 7 mars 2011). b) En l’occurrence, l’assurée a été hospitalisée en urgence le 19 juin 2010 – un samedi –, ce dont I.________, représentant de l’intimée à l’étranger, a été informée le jour même à 18 h. 00. L’assurée est restée hospitalisée jusqu’au 22 juin 2010, date de son retour en Suisse. La brièveté de ces délais et le fait que l’assurance n’était absolument pas renseignée sur la nature de l’affection dont souffrait la recourante ni sur la gravité de celle-ci font qu’on ne peut absolument pas reprocher à l’intimée de ne pas avoir prévenu l’assurée que cas échéant, l’entier des frais ne serait pas couvert. On ne saurait dès lors retenir que la situation de la recourante était reconnaissable par l’assurance-maladie, entraînant de ce fait une violation de son devoir d’information. Au demeurant, le cas de la recourante n’est pas similaire à celui de la jurisprudence genevoise que cette dernière cite dans son recours, dans la mesure où le temps laissé à l’assurance était beaucoup plus conséquent. Partant, le grief de violation du devoir d’information doit être rejeté.</w:t>
      </w:r>
    </w:p>
    <w:p>
      <w:r>
        <w:rPr>
          <w:b/>
        </w:rPr>
        <w:t>E. 5</w:t>
      </w:r>
    </w:p>
    <w:p>
      <w:r>
        <w:t>Finalement, la recourante soutient que P.________ engage sa responsabilité eu égard aux dispositions légales réglant la gestion d’affaires. a) Selon l’art. 419 CO (Code des obligations du 30 mars 1911 ; RS 220), celui qui, sans mandat, gère l’affaire d’autrui, est tenu de la gérer conformément aux intérêts et aux intentions présumables du maître. L’art. 420 CO prévoit que le gérant répond de toute négligence ou imprudence</w:t>
      </w:r>
    </w:p>
    <w:p>
      <w:r>
        <w:t>- 13 - (al. 1). Sa responsabilité doit toutefois être appréciée avec moins de rigueur quand il a géré l’affaire du maître pour prévenir un dommage dont ce dernier était menacé (al. 2). Lorsqu’il a entrepris la gestion contre la volonté que le maître a manifestée en termes exprès ou de quelque autre manière reconnaissable, et si cette défense n’était contraire ni aux lois, ni aux moeurs, il est tenu même des cas fortuits, à moins qu’il ne prouve qu’ils seraient aussi survenus sans son immixtion (al. 3). Le gérant répond de toute faute, même légère. Les notions de négligence des art. 420 al. 1 et 99 al. 1 CO sont identiques ; la faute consiste dans le manquement de l’intelligence ou de la volonté à la diligence que l’on pouvait attendre du débiteur dans les circonstances du cas d’espèce (Héritier Lachat, Commentaire romand CO I, 2e édition 2012, n° 3 ad art. 420 CO). La source du devoir auquel l’auteur est tenu détermine cependant un étalon différent pour cette diligence (Thévenoz, Commentaire romand CO I, 2e édition 2012, n° 1 ad art. 99 CO). Lorsque l’activité du gérant est entreprise pour prévenir un dommage menaçant le maître, le gérant voit sa responsabilité atténuée. Cette règle, visée par l’art. 420 al. 2 CO et pendant de l’art. 99 al. 2 CO, est fondée sur l’équité. Elle s’applique lorsque deux conditions sont satisfaites : d’une part, la menace du danger doit pouvoir être déduite raisonnablement de toutes les circonstances. A cet égard, la perception subjective de la menace par le gérant au moment de son activité est aussi prise en compte. D’autre part, le gérant doit agir pour prévenir le dommage qui menace le maître. Il n’est en revanche pas nécessaire que l’activité déployée par le gérant ait effectivement eu cette conséquence (Héritier Lachat, op. cit., n° 8 ad art. 420 CO). b) En l’occurrence, on ne voit pas en quoi la gestion d’affaires entrerait en considération. La recourante a souscrit une assurance « [...] » et à ce titre, bénéficie des garanties 1 à 3 de la Convention d’assistance touristique. Or, la garantie 1 ch. 2 prévoit que l’organisme d’assistance avance pour le compte de l’intimée un montant de 10’000 fr. au maximum pour les frais d’hospitalisation. La somme pouvant excéder ce plafond</w:t>
      </w:r>
    </w:p>
    <w:p>
      <w:r>
        <w:t>- 14 - peut éventuellement être avancée avec l’accord de P.________ et moyennant remboursement (ch. 3). Il s’avère en l’espèce que le 25 juin 2010, I.________ a accusé réception de la facture de l’Hôpital M.________ et informé celui-ci que l’assureur-maladie l’avait autorisée à garantir un montant de 7000 euros, le solde devant être facturé à l’assurée directement. Tout cela correspond à la garantie 1 de la Convention d’assistance touristique. Il appert finalement que l’Hôpital M.________ a accepté de se contenter de la garantie de 7000 euros, alors qu’il était libre de ne pas le faire et de demander le solde à l’assurée. Il est ainsi erroné de prétendre qu’il y a eu négociation pour obtenir une baisse de la facture ; a contrario, il y a eu application des conditions d’assurance. Au demeurant, on relèvera que si l’Hôpital M.________ n’avait pas réduit la facture d’hospitalisation à 7000 euros, le solde (5'281 euros) aurait été à la charge de l’assurée (ch. 3 garantie 1). Partant, on ne voit pas où il aurait été fait preuve de négligence ou d’imprudence, à supposer qu’il y ait eu gestion d’affaires.</w:t>
      </w:r>
    </w:p>
    <w:p>
      <w:r>
        <w:rPr>
          <w:b/>
        </w:rPr>
        <w:t>E. 6</w:t>
      </w:r>
    </w:p>
    <w:p>
      <w:r>
        <w:t>a) Il résulte de ce qui précède que la décision sur opposition du 14 décembre 2011, par laquelle P.________ a confirmé son refus de prise en charge, au-delà du montant de 5'164 fr. 10, des frais relatifs à l’hospitalisation du 19 au 22 juin 2010 en Grèce,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la recourante n’obtenant pas gain de cause (art. 55 LPA-VD ; cf. art. 61 let. g LPGA). Par ces motifs, le juge unique p r o n o n c e :</w:t>
      </w:r>
    </w:p>
    <w:p>
      <w:r>
        <w:t>- 15 - I. Le recours est rejeté. II. La décision sur opposition rendue le 14 décembre 2011 par P.________ caisse maladie, aujourd’hui P.________, est confirmée. III. Il n’est pas perçu de frais de justice ni alloué de dépens. La juge unique : La greffière : Du L'arrêt qui précède est notifié à : - DAS Protection juridique (pour X.________)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