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ZE10.035700 vom 7. November 2011</w:t>
      </w:r>
    </w:p>
    <w:p>
      <w:r>
        <w:t>VD Tribunal cantonal, 2011-11-07, FR</w:t>
      </w:r>
    </w:p>
    <w:p>
      <w:r>
        <w:rPr>
          <w:b/>
        </w:rPr>
        <w:t xml:space="preserve">Quelle: </w:t>
      </w:r>
      <w:r>
        <w:t>https://mcp.opencaselaw.ch/entscheid/vd_gerichte_ZE10.035700</w:t>
      </w:r>
    </w:p>
    <w:p>
      <w:r>
        <w:t>FR: VD_GERICHTE ZE10.035700 du 7 novembre 2011</w:t>
      </w:r>
    </w:p>
    <w:p>
      <w:r>
        <w:t>IT: VD_GERICHTE ZE10.035700 del 7 novembre 2011</w:t>
      </w:r>
    </w:p>
    <w:p>
      <w:pPr>
        <w:pStyle w:val="Heading2"/>
      </w:pPr>
      <w:r>
        <w:t>Erwägungen</w:t>
      </w:r>
    </w:p>
    <w:p>
      <w:r>
        <w:rPr>
          <w:b/>
        </w:rPr>
        <w:t>E. 1</w:t>
      </w:r>
    </w:p>
    <w:p>
      <w:r>
        <w:t>a) Les dispositions de la LPGA (loi fédérale du 6 octobre 2000 sur la partie générale du droit des assurances sociales; RS 830.1) s'appliquent à l'assurance-maladie (art. 1 al. 1 LAMal [loi fédérale du 18</w:t>
      </w:r>
    </w:p>
    <w:p>
      <w:r>
        <w:t>- 10 -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Interjeté dans le délai légal de trente jours dès la notification de la décision attaquée, le recours est déposé en temps utile (art. 60 al. 1); il satisfait en outre aux autres conditions légales (art. 61 let. b LPGA), de sorte qu'il est recevable à la forme.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qui porte sur la prise en charge d'une séance d’ergothérapie par semaine, soit une prestation qui peut être périodiquement ou ponctuellement remise en cause par l’assureur, est inférieure à 30'000 fr.; l'affaire relève donc de la compétence du juge unique (art. 94 al. 1 let. a LPA-VD).</w:t>
      </w:r>
    </w:p>
    <w:p>
      <w:r>
        <w:rPr>
          <w:b/>
        </w:rPr>
        <w:t>E. 2</w:t>
      </w:r>
    </w:p>
    <w:p>
      <w:r>
        <w:t>Dans un premier grief tiré de la violation du droit d'être entendu, le recourant reproche à l'autorité intimée d'avoir produit en cours de procédure un rapport médical de son psychiatre-conseil, daté du 22 novembre 2010. Il soutient que ce rapport n'est pas un simple avis du médecin-conseil au sens de l'art 57 al. 4 LAMal, mais doit être considéré comme une véritable expertise indépendante au sens de l'art 44 LPGA, expertise à la mise en œuvre de laquelle il n'a pas pu participer. a) La jurisprudence a déduit du droit d'être entendu, garanti à l'art. 29 al. 2 Cst., celui pour le justiciable de s'expliquer avant qu'une décision soit prise à son détriment, celui de fournir des preuves quant aux faits de nature à influer sur le sort de la décision, celui d'avoir accès au</w:t>
      </w:r>
    </w:p>
    <w:p>
      <w:r>
        <w:t>- 11 - dossier et celui de participer à l'administration des preuves, d'en prendre connaissance et de se déterminer à leur propos (ATF 132 V 368 consid. 3.1 et les références).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(ATF 133 I 98 consid. 2.1 et 4.3 - 4.6). Quant à l'art 44 LPGA, il stipule que si l’assureur doit recourir aux services d’un expert indépendant pour élucider les faits, il donne connaissance du nom de celui-ci aux parties. Celles-ci peuvent récuser l’expert pour des raisons pertinentes et présenter des contre-propositions. b) En l'occurrence, le rapport médical du 22 novembre 2010 du Dr X.________, qui fonctionne en qualité de médecin-conseil de l'assureur intimé, ne constitue pas une expertise indépendante au sens de l'art. 44 LPGA, ce qui n'est du reste pas contesté par P.________, mais correspond à un avis du médecin-conseil au sens de l'art 57 al. 4 LAMal. Cela étant, le recourant a pu prendre connaissance du contenu de ce rapport tel que produit dans le cadre de la procédure de recours, et il a fait valoir ses arguments dans une écriture du 13 juillet 2011. Son droit d'être entendu a ainsi été respecté.</w:t>
      </w:r>
    </w:p>
    <w:p>
      <w:r>
        <w:rPr>
          <w:b/>
        </w:rPr>
        <w:t>E. 3</w:t>
      </w:r>
    </w:p>
    <w:p>
      <w:r>
        <w:t>Sur le fond, le litige porte sur le droit du recourant à la prise en charge de séances d'ergothérapie par l'intimée à partir du 1er juillet 2010.</w:t>
      </w:r>
    </w:p>
    <w:p>
      <w:r>
        <w:t>- 12 -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 hospitalier ou dans un établissement médico-social par des médecins, des chiropraticiens et des personnes fournissant des prestations sur prescription ou sur mandat médical (al. 2 let. a). Selon l'art. 6 al. 1 let. b OPAS (ordonnance du DFI du 29 septembre 1995 sur les prestations dans l’assurance obligatoire des soins en cas de maladie; RS 832.112.31), les prestations fournies, sur prescription médicale, par les ergothérapeutes et les organisations d'ergothérapie, au sens des art. 46, 48 et 52 OAMal (ordonnance du 27 juin 1995 sur l’assurance-maladie; RS 832.102), sont prises en charge dans la mesure où elles sont effectuées dans le cadre d’un traitement psychiatrique. Les prestations mentionnées aux art. 25 à 31 LAMal doivent être efficaces, appropriées et économiques; l'efficacité doit être démontrée selon des méthodes scientifiques (art. 32 al. 1 LAMal). L'efficacité, l'adéquation et le caractère économique des prestations sont examinés périodiquement (art. 32 al. 2 LAMal). b)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w:t>
      </w:r>
    </w:p>
    <w:p>
      <w:r>
        <w:t>- 13 -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cf. TF 9C_22/2011 du 16 mai 2011 consid. 5).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(cf. ATF 135 V 465 consid. 4 et les références citées, TF 8C_456/2010 du 19 avril 2011 consid. 3). c) En l'espèce, si l’on se rapporte à la documentation produite par le Dr X.________ lui-même (cf. pièce 15), l’ergothérapie est préconisée de manière générale également pour le maintien de compétences motrices, affectives et cognitives, de l’autonomie et des relations sociales; en particulier, elle est recommandée pour un soutien et une stabilisation en cas de problèmes de confiance en soi, de tolérance à la frustration, de capacité de communication et de gestion des conflits, de conscience de son propre corps, et de concentration. Soit autant de circonstances que, dans le cas particulier, les médecins traitants relèvent de manière pertinente et motivée pour préconiser la poursuite du traitement, fut-il allégé. A cela s’ajoute que le Dr X.________ ne réfute pas les avis des médecins traitants à satisfaction, estimant même que l’ergothérapie peut subsister en milieu protégé, ce qui ne plaide a priori pas pour une inutilité</w:t>
      </w:r>
    </w:p>
    <w:p>
      <w:r>
        <w:t>- 14 - ni donc une suppression totale. Le seul écoulement d’un certain temps et une approche très dogmatique du problème ne suffisent pas à cet égard, les circonstances concrètes devant être examinées et donner lieu à une pesée. Enfin, le renvoi à une médication propre à calmer l’agressivité de l’assuré n’exclut pas la poursuite du traitement ergothérapeutique, comme complément, ou à tout le moins durant une période d’observation sur le plan médical, qui reste déterminant. L'évaluation des risques et chances de succès d’une médication n’a d'ailleurs été abordée par aucun des médecins consultés. C'est enfin sans compter, sous l’angle du caractère adéquat, que le coût d'un traitement médicamenteux spécialisé peut être bien plus élevé que les séances d’ergothérapie. Ainsi, quant à la négation de l’efficacité et du caractère adéquat de l’ergothérapie dans le cas concret, la décision attaquée de suppression totale apparaît prématurée en tant qu’elle se fonde sur le rapport d’un médecin mandaté par la caisse insuffisamment motivé et empreint de contradictions, ce à plus forte raison que les avis des médecins traitants, auxquels on ne voit pas qu'il faille nier le caractère probant, laissent subsister des doutes suffisants. d) Conformément à la jurisprudence précitée (cf. supra consid. 3b), ces contradictions devraient être levées par l’avis d’un (ou plusieurs) spécialiste indépendant des parties, compte tenu des particularités du cas d’espèce. En l'occurrence, l’instruction s’avérant manifestement lacunaire sur les éléments déterminants pour la solution du cas concret, il se justifie de renvoyer l’autorité de décision à rendre une nouvelle décision qui repose sur une motivation exempte de contradictions, soit après qu’un expert indépendant se soit prononcé, expert à mandater conformément à l’art. 44 LPGA.</w:t>
      </w:r>
    </w:p>
    <w:p>
      <w:r>
        <w:rPr>
          <w:b/>
        </w:rPr>
        <w:t>E. 4</w:t>
      </w:r>
    </w:p>
    <w:p>
      <w:r>
        <w:t>a) En définitive, le recours est admis et la décision sur opposition du 4 octobre 2010 annulée. La cause est renvoyée à l'intimée</w:t>
      </w:r>
    </w:p>
    <w:p>
      <w:r>
        <w:t>- 15 - pour instruction complémentaire au sens des considérants et nouvelle décision. b) Le recourant, qui a obtenu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compte tenu des nombreux échanges d'écritures et de la tenue d'une audience, il y a lieu d'arrêter le montant des dépens à 2'500 fr. à la charge de l'intimée, qui succombe (art. 55 al. 2 LPA-VD). Il n'y a pas lieu de percevoir des frais de justice, la procédure étant gratuite (art. 61 let. a LPGA).</w:t>
      </w:r>
    </w:p>
    <w:p>
      <w:r>
        <w:t>- 16 - Par ces motifs, le juge unique p r o n o n c e : I. Le recours est admis. II. La décision sur opposition rendue le 4 octobre 2010 par P.________ est annulée, la cause étant renvoyée à cet assureur pour instruction complémentaire et nouvelle décision, au sens des considérants. III. P.________ versera au recourant C.________ une indemnité de 2'500 fr. (deux mille cinq cents francs), à titre de dépens. IV. Le présent arrêt est rendu sans frais. Le juge unique : La greffière: Du L'arrêt qui précède est notifié à : - Me Jean-Michel Duc (pour M. C.________) - Me Didier Elsig (pour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- 17 -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