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ZE09.000796 vom 2. April 2009</w:t>
      </w:r>
    </w:p>
    <w:p>
      <w:r>
        <w:t>VD Tribunal cantonal, 2009-04-02, FR</w:t>
      </w:r>
    </w:p>
    <w:p>
      <w:r>
        <w:rPr>
          <w:b/>
        </w:rPr>
        <w:t xml:space="preserve">Quelle: </w:t>
      </w:r>
      <w:r>
        <w:t>https://mcp.opencaselaw.ch/entscheid/vd_gerichte_ZE09.000796</w:t>
      </w:r>
    </w:p>
    <w:p>
      <w:r>
        <w:t>FR: VD_GERICHTE ZE09.000796 du 2 avril 2009</w:t>
      </w:r>
    </w:p>
    <w:p>
      <w:r>
        <w:t>IT: VD_GERICHTE ZE09.000796 del 2 aprile 2009</w:t>
      </w:r>
    </w:p>
    <w:p>
      <w:pPr>
        <w:pStyle w:val="Heading2"/>
      </w:pPr>
      <w:r>
        <w:t>Erwägungen</w:t>
      </w:r>
    </w:p>
    <w:p>
      <w:r>
        <w:rPr>
          <w:b/>
        </w:rPr>
        <w:t>E. 1</w:t>
      </w:r>
    </w:p>
    <w:p>
      <w:r>
        <w:t>a) Interjeté dans le respect du délai légal de trente jours suivant la notification de la décision entreprise (art. 60al. 1 LPGA), compte tenu de la suspension du délai durant les féries de fin d'année (art. 38 al. 4 let. c LPGA), le recours a été déposé en temps utile. Suite au complément de recours du 20 février 2009, il est en outre recevable en la forme, de sorte qu'il y a lieu d'entrer en matière sur le fond. b)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dite loi sont traitées selon cette dernière.</w:t>
      </w:r>
    </w:p>
    <w:p>
      <w:r>
        <w:t>- 8 - La Cour des assurances sociales du Tribunal cantonal, qui succède au Tribunal des assurances, est ainsi compétente pour statuer (art. 93 al. 1 LPA-VD). c) La valeur litigieuse – en l'espèce les 510 fr. 30 versés par erreur par l'intimée – étant inférieure à 30'000 fr., la présente cause relève de la compétence d'un membre de la Cour des assurances sociales, statuant comme juge unique (art. 94 al. 1 LPA-VD).</w:t>
      </w:r>
    </w:p>
    <w:p>
      <w:r>
        <w:rPr>
          <w:b/>
        </w:rPr>
        <w:t>E. 2</w:t>
      </w:r>
    </w:p>
    <w:p>
      <w:r>
        <w:t>Est seul litigieux en l'espèce le droit du recourant à la remise de l'obligation de restituer le montant de 510 fr. 30, dont il n'est pas contesté qu'il a été indûment versé par l'intimée.</w:t>
      </w:r>
    </w:p>
    <w:p>
      <w:r>
        <w:rPr>
          <w:b/>
        </w:rPr>
        <w:t>E. 3</w:t>
      </w:r>
    </w:p>
    <w:p>
      <w:r>
        <w:t>a) A teneur de l'art. 25 al. 1 LPGA, les prestations indûment touchées doivent être restituées; la restitution ne peut être exigée lorsque l'intéressé était de bonne foi et qu'elle le mettrait dans une situation difficile (cf. également art. 4 al. 1 OPGA [ordonnance fédérale du 11 septembre 2002 sur la partie générale du droit des assurances sociales, RS 830.11]). Ces deux conditions matérielles sont cumulatives et leur réalisation est nécessaire pour que la remise de l'obligation de restituer soit accordée (ATF 8C_403/2008 du 23 janvier 2009, consid. 2.1 et les références). Selon l'art. 3 OPGA, l'étendue de l'obligation de restituer est fixée par une décision (al. 1); l'assureur indique la possibilité d'une remise dans la décision en restitution (al. 2), remise qui fait l'objet d'une décision distincte (art. 4 al. 5 OPGA). b) Selon une jurisprudence constante relative à l'art. 47 al. LAVS (loi fédérale du 20 décembre 1946 sur l'assurance-viellesse et survivants, RS 831.10), en vigueur jusqu'à l'entrée en vigueur, au 1er janvier 2003, de la LPGA, et applicable par analogie en matière d'assurance-maladie (ATF K 8/03 du 31 mars 2004, consid. 4 et les références), l'ignorance, par le bénéficiaire des prestations, du fait qu'il n'avait pas droit aux prestations en cause ne suffit pas pour admettre sa</w:t>
      </w:r>
    </w:p>
    <w:p>
      <w:r>
        <w:t>- 9 - bonne foi. Il faut bien plutôt que l'assuré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Il y a négligence grave, à cet égard, quand un ayant droit ne se conforme pas à ce qui peut raisonnablement être exigé d'une personne capable de discernement dans une situation identique et dans les mêmes circonstances (ATF K 8/03 du 31 mars 2004 précité, consid. 4 et les références; ATF 8C_403/2008 du 23 janvier 2009 précité, consid. 2.2). c) Aux termes de l'art. 4 al. 2 OPGA, est déterminant, pour apprécier s'il y a une situation difficile, le moment où la décision de restitution est exécutoire. Les conditions auxquelles l'existence d'une situation difficile au sens de l'art. 25 al. 1 LPGA doit être admise sont posées à l'art. 5 OPGA.</w:t>
      </w:r>
    </w:p>
    <w:p>
      <w:r>
        <w:rPr>
          <w:b/>
        </w:rPr>
        <w:t>E. 4</w:t>
      </w:r>
    </w:p>
    <w:p>
      <w:r>
        <w:t>Il y a lieu de relever, en premier lieu, que le procédé de l'intimée consistant à statuer dans une seule et même décision formelle tant sur la restitution proprement dite que sur la demande de remise n'est pas conforme aux exigences légales, telles que rappelées ci-dessus (consid. 3a). Cela étant, il résulte des pièces au dossier que le recourant ne conteste aucunement la restitution en tant que telle; cette irrégularité ne porte ainsi pas à conséquence en l'occurrence, de sorte qu'il y a lieu d'entrer en matière sur le fond. a) Quant au fond, l'intimée a refusé la remise de l'obligation de restituer au motif que le recourant ne pouvait être considéré de bonne foi, dans la mesure où, dans une situation identique, un bénéficiaire de prestations faisant preuve d'un minimum d'attention aurait pris garde double versement; elle soutient à cet égard que les deux décomptes sur lesquels étaient fondés ces deux versements, adressés au recourant dans</w:t>
      </w:r>
    </w:p>
    <w:p>
      <w:r>
        <w:t>- 10 - un très bref délai, sont clairs quant au traitement pris en charge, relevant notamment qu'ils portent sur la même somme et mentionnent la même date de traitement. Ce raisonnement ne saurait être suivi. A la lecture des décomptes en cause, on constate qu'une personne capable de discernement n'aurait pas pu, dans une situation identique et selon le devoir de diligence raisonnablement exigible, se rendre compte de l'erreur de la caisse. En effet, il résulte du courrier adressé le 10 décembre 2007 à l'intimée par l'intéressé que celui-ci avait en suspens plusieurs factures, dont il a soit transmis copie, soit chargé le CSR de Nyon-Rolle de le faire. Il a par la suite reçu deux décomptes, établis à deux dates différentes, indiquant certes notamment la même date de traitement (2 novembre 2007), mais qui mentionnent des prestataires de soins et des montants totaux différents. Dans ces conditions, il apparaît peu probable que le recourant aurait pu et dû se rendre compte qu'il s'agissait de la même prestation qui lui était remboursée deux fois, ce d'autant moins que, selon ses dires, l'intimée lui avait déjà à plusieurs reprises adressé différents courriers concernant le même sujet; à cet égard, la bonne foi n'impose pas non plus de regarder régulièrement ses relevés bancaires. La négligence de l'intéressé – si tant est que l'on puisse parler de négligence – ne saurait ainsi être qualifiée de grave au sens de la jurisprudence, étant précisé qu'il n'est manifestement pour rien dans l'erreur commise par l'intimée, erreur qui n'a en particulier aucunement été provoquée par une violation de son obligation d'annoncer ou de renseigner. Par ailleurs, la caisse est malvenue de se référer au fait que le recourant aurait procédé à un "pseudo-chantage" en acceptant de compenser la prestation touchée indûment avec une prestation qu'elle n'estimait pas due, ce qui tendrait à démontrer sa mauvaise foi, alors que c'est elle-même qui a indiqué la possibilité d'une compensation, et ce en violation des dispositions légales applicables qui l'obligeaient à fixer l'étendue de la restitution par une décision, d'une part, et à mentionner la possibilité d'une remise, d'autre part (art. 25 LPGA, art. 3 al. 1 et 2 OPGA).</w:t>
      </w:r>
    </w:p>
    <w:p>
      <w:r>
        <w:t>- 11 - Il convient en conséquence de retenir que les conditions de la bonne foi sont réunies, et d'examiner si la restitution du montant en cause mettrait le recourant dans une situation difficile au sens de l'art. 25 al. 1 LPGA. b) Il résulte de la décision rendue le 2 juin 2008 par le CSR Nyon-Rolle, produite par le recourant en cours d'instance, que celui-ci, sans revenus ni fortune, a été mis au bénéfice du RI avec effet au 1er juillet 2007. Dans ses conditions, l'existence d'une situation difficile au sens de l'art. 25 al. 1 LPGA est manifestement établie, sans qu'il soit nécessaire de procéder à un examen strict des conditions posées par l'art. 5 OPGA. c) En définitive, force est de constater que le recourant était de bonne foi lorsqu'il a indûment perçu la prestation en cause, et qu'une restitution le mettrait dans une situation difficile. Il a par conséquent droit à la remise de l'obligation de restituer.</w:t>
      </w:r>
    </w:p>
    <w:p>
      <w:r>
        <w:rPr>
          <w:b/>
        </w:rPr>
        <w:t>E. 5</w:t>
      </w:r>
    </w:p>
    <w:p>
      <w:r>
        <w:t>Il s'ensuit que le recours doit être admis et la décision attaquée annulée. Le présent arrêt est rendu sans frais (art. 61 let. a LPGA) ni allocation de dépens (art. 61 let. g LPGA; art. 55 LPA-VD). Par ces motifs, le juge unique p r o n o n c e : I. Le recours est admis. II. La décision attaquée est annulée. III. Le présent arrêt est rendu sans frais ni allocation de dépens.</w:t>
      </w:r>
    </w:p>
    <w:p>
      <w:r>
        <w:t>- 12 - Le juge unique : Le greffier : Du L'arrêt qui précède est notifié à : - Y.________, à [...]; - H.________, à 6002 Lucerne;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