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ZD25.048976 vom 3. Februar 2026</w:t>
      </w:r>
    </w:p>
    <w:p>
      <w:r>
        <w:t>VD Tribunal cantonal, 2026-02-03, FR</w:t>
      </w:r>
    </w:p>
    <w:p>
      <w:r>
        <w:rPr>
          <w:b/>
        </w:rPr>
        <w:t xml:space="preserve">Quelle: </w:t>
      </w:r>
      <w:r>
        <w:t>https://mcp.opencaselaw.ch/entscheid/vd_gerichte_ZD25.048976</w:t>
      </w:r>
    </w:p>
    <w:p>
      <w:r>
        <w:t>FR: VD_GERICHTE ZD25.048976 du 3 février 2026</w:t>
      </w:r>
    </w:p>
    <w:p>
      <w:r>
        <w:t>IT: VD_GERICHTE ZD25.048976 del 3 febbraio 2026</w:t>
      </w:r>
    </w:p>
    <w:p>
      <w:pPr>
        <w:pStyle w:val="Heading2"/>
      </w:pPr>
      <w:r>
        <w:t>Erwägungen</w:t>
      </w:r>
    </w:p>
    <w:p>
      <w:r>
        <w:rPr>
          <w:b/>
        </w:rPr>
        <w:t>E. 6</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128 V 29 ; également TF 9C_236/2009 du 7 octobre 2009 consid. 3 et 4). bb) Chez les assurés qui n'exerçaient pas d'activité lucrative avant d'être atteints dans leur santé physique, mentale ou psychique, qui accomplissaient leurs travaux habituels et dont il ne peut être exigé qu'ils entreprennent une activité lucrative, il y a lieu d'effectuer une comparaison des activités, en cherchant à établir dans quelle mesure l'assuré est empêché d'accomplir ses travaux habituels ; c'est la méthode spécifique d'évaluation de l'invalidité (art. 28a al. 2 LAI en corrélation avec les art. 8 10J010</w:t>
      </w:r>
    </w:p>
    <w:p>
      <w:r>
        <w:t>- 11 - al. 3 LPGA et 27 RAI). Par travaux habituels, il faut entendre l'activité usuelle dans le ménage, ainsi que les soins et l'assistance apportés aux proches (art. 27 RAI).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probante reconnue habituellement en droit des assurances sociales atteigne le degré de la vraisemblance prépondérante (ATF 137 V 334 consid. 3.2 et les références citées).</w:t>
      </w:r>
    </w:p>
    <w:p>
      <w:r>
        <w:rPr>
          <w:b/>
        </w:rPr>
        <w:t>E. 7</w:t>
      </w:r>
    </w:p>
    <w:p>
      <w:r>
        <w:t>En l'occurrence, il n'est pas possible de suivre le raisonnement de l'office intimé, selon lequel le statut actuel de l'assuré serait celui d'une personne sans activité lucrative, justifiant, à compter du 1er avril 2025, l'usage de la méthode spécifique d'évaluation de l'invalidité. Le raisonnement tenu repose en effet sur la prémisse erronée que l'absence d'exercice d'une activité lucrative induirait nécessairement l'application de la méthode spécifique d'évaluation de l'invalidité à la personne assurée concernée. Cette interprétation ne correspond toutefois pas au système de la loi. L'art. 28a al. 2 LAI prescrit de manière claire et non équivoque que la personne qui n'exerce pas d'activité lucrative doit consacrer son temps à l'accomplissement de ses travaux habituels. Or les travaux habituels que l'on doit prendre en compte, par le biais de la méthode spécifique, pour l'évaluation de l'invalidité correspondent à l'activité usuelle dans le ménage 10J010</w:t>
      </w:r>
    </w:p>
    <w:p>
      <w:r>
        <w:t>- 12 - (tenue du ménage, alimentation, entretien du logement, achats, lessive et repassage, soins aux enfants ou autres tâches liées au ménage), ainsi qu'aux soins et à l'assistance apportés aux proches (cf. art. 27 al. 1 RAI). En l'espèce, I.________ ne s'inscrit pas dans l'une des catégories décrites ci- dessus. Il n'y a aucun élément au dossier qui laisse à penser que celui-ci consacre, depuis son départ à la retraite, son temps à l'accomplissement de travaux habituels. Le fait qu'il ait répondu de manière négative, dans un formulaire daté du 13 juin 2025, à la question de savoir s'il présentait des empêchements dans ses travaux habituels ne permet pas d'inférer, en l'absence d'éléments objectifs, qu'il s'attèle concrètement aux tâches ménagères, faute pour ledit questionnaire d'avoir demandé au préalable à I.________ s'il consacre effectivement son temps à l'accomplissement des travaux habituels. Il résulte de ce qui précède que la méthode spécifique d'évaluation de l'invalidité n'entre pas en ligne de compte dans le cas d'espèce (cf. TF 9C_36/2013 du 21 juin 2013 consid. 4.4.1).</w:t>
      </w:r>
    </w:p>
    <w:p>
      <w:r>
        <w:rPr>
          <w:b/>
        </w:rPr>
        <w:t>E. 8</w:t>
      </w:r>
    </w:p>
    <w:p>
      <w:r>
        <w:t>a) En vérité, le fait que le bénéficiaire d'une rente de l'assurance-invalidité prenne une retraite anticipée ne saurait constituer un motif juridique de révision au sens de l'art. 17 LPGA. D'une part, il est évident que l'état de santé de la personne assurée ne subit aucune modification du seul fait du départ en retraite anticipée. D'autre part, on ne saurait parler d'un véritable changement de statut juridique, la jurisprudence rappelée plus haut, sous consid. 5b, visant avant tout le passage d'une activité ménagère à une activité professionnelle et vice versa. Au contraire, le Tribunal fédéral a souligné dans sa jurisprudence que le motif de révision consistant dans un changement de méthode d'évaluation de l'invalidité devait être étayé par une modification (effective ou hypothétique) des faits déterminants (TF 9C_458/2014 du 26 août 2014 consid. 1 ; voir également ULRICH MEYER/MARCO REICHMUTH, Rechtsprechung des Bundesgerichts zum IVG, 4e éd., 2022, n. 27 ad art. 30 LAI). Or, en l'occurrence, la fin de la carrière professionnelle d'I.________ est la conséquence du fait qu'il avait atteint l'âge permettant de prendre une retraite anticipée. Cela étant, la situation objective de l'assuré n'avait connu, en date du 1er avril 2025, aucun changement particulier justifiant de procéder à une révision du droit à la rente. 10J010</w:t>
      </w:r>
    </w:p>
    <w:p>
      <w:r>
        <w:t>- 13 - b) De même, le fait que le bénéficiaire d'une rente de l'assurance-invalidité touche des prestations d'assurance au titre de la retraite anticipée ne saurait constituer un motif juridique de révision au sens de l'art. 17 LPGA. Certes I.________ est éligible sur le principe, parce qu'il en remplit les conditions réglementaires, à une rente transitoire ordinaire versée par la A.________. Il n'en demeure pas moins qu'il peut, en raison de son invalidité, prétendre à une rente d'invalidité de l'assurance-invalidité ainsi qu'à des prestations d'invalidité de l'institution de prévoyance auprès de laquelle il était assuré au moment de la survenance de l'incapacité de travail à l'origine de son invalidité. Or, ainsi que le précise l'art. 11 du règlement du Fonds de la retraite transitoire (complémentaire au règlement principal de la A.________), les prestations allouées par ledit règlement sont subsidiaires aux autres prestations légales et conventionnelles, soit notamment les prestations de l'assurance-invalidité et de la prévoyance professionnelle. En ce sens, le versement d'une rente transitoire par la A.________ ne diffère guère d'une prestation qui proviendrait d'un régime privé d'assurance et on ne saurait y voir une modification des circonstances économiques au sens de l'art. 17 LPGA (voir également CASSO AI 285/24 – 40/2025 du 7 février 2025 consid. 8b).</w:t>
      </w:r>
    </w:p>
    <w:p>
      <w:r>
        <w:rPr>
          <w:b/>
        </w:rPr>
        <w:t>E. 9</w:t>
      </w:r>
    </w:p>
    <w:p>
      <w:r>
        <w:t>Cela étant précisé, il convient d'examiner le droit à la rente d'I.________. a) En l'occurrence, il n'est pas contesté que l'assuré a présenté une incapacité totale de travailler à compter du 1er septembre 2023. b) Selon le rapport du 28 novembre 2024 du Dr J.________, la situation était actuellement stable avec un patient présentant une maladie contrôlée. Il avait en effet terminé le traitement de consolidation par Daratumumab/Dexaméthasone et Revlimid et suivait actuellement un traitement de maintenance par Daratumumab et Revlimid ; il suivait par ailleurs une radiothérapie associée à une hormonothérapie pour son cancer de la prostate. Selon le Dr J.________, il n'était pas impossible que l'assuré recouvre une capacité de travail et puisse suivre des mesures d'ordre 10J010</w:t>
      </w:r>
    </w:p>
    <w:p>
      <w:r>
        <w:t>- 14 - professionnel de l'assurance-invalidité ; il proposait de réévaluer la situation au décours du traitement de radiothérapie et en fonction de la récupération de l'état de santé dans un délai de trois mois. c) Avec ses déterminations du 4 décembre 2025, I.________ a indiqué – certificats médicaux et décomptes de salaire à l'appui – qu'il avait été en mesure de reprendre son activité professionnelle, d'abord à 50 % du 1er au 19 janvier 2025, puis à 100 % à compter du 20 janvier 2025. d) Aussi convient-il de renvoyer la cause à l'office intimé, afin qu'il examine le point de savoir si, à compter du 1er janvier 2025, l'état de santé de l'assuré s'est amélioré au point de justifier une révision du droit à la rente au sens de l'art. 17 LPGA.</w:t>
      </w:r>
    </w:p>
    <w:p>
      <w:r>
        <w:rPr>
          <w:b/>
        </w:rPr>
        <w:t>E. 10</w:t>
      </w:r>
    </w:p>
    <w:p>
      <w:r>
        <w:t>a) En définitive, le recours, bien fondé, doit être admis, la décision attaquée annulée, et la cause renvoyée à l'intimé pour instruction complémentaire au sens des considérants et nouvelle décision. b) La procédure de recours en matière de contestations portant sur l'octroi ou le refus de prestations de l'assurance-invalidité est soumise à des frais de justice (art. 69 al. 1bis LAI). Il convient de les fixer à 600 fr., et de les mettre à la charge de l'office intimé, vu l'issue du litige. c) La recourante est une institution chargée de tâches de droit public et ne peut donc pas prétendre à l'allocation de dépens (ATF 126 V 143 consid. 4a). L'assuré qui n'est pas représenté par un mandataire professionnel n'a pour sa part pas davantage droit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