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ZD25.046391 vom 28. Januar 2026</w:t>
      </w:r>
    </w:p>
    <w:p>
      <w:r>
        <w:t>VD Tribunal cantonal, 2026-01-28, FR</w:t>
      </w:r>
    </w:p>
    <w:p>
      <w:r>
        <w:rPr>
          <w:b/>
        </w:rPr>
        <w:t xml:space="preserve">Quelle: </w:t>
      </w:r>
      <w:r>
        <w:t>https://mcp.opencaselaw.ch/entscheid/vd_gerichte_ZD25.046391</w:t>
      </w:r>
    </w:p>
    <w:p>
      <w:r>
        <w:t>FR: VD_GERICHTE ZD25.046391 du 28 janvier 2026</w:t>
      </w:r>
    </w:p>
    <w:p>
      <w:r>
        <w:t>IT: VD_GERICHTE ZD25.046391 del 28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point de savoir si le recourant a droit à des prestations de l’assurance-invalidité, plus particulièrement s’il présente une atteinte à la santé incapacitante. b) Dans son écriture du 18 novembre 2025, l’intimé a conclu à l’annulation de la décision attaquée et au renvoi de la cause pour instruction complémentaire, notamment sur le plan médical. Il convient de rappeler que l’acquiescement est en principe inopérant en droit des assurances sociales, dans lequel prévaut la maxime d’office (art. 43 al. 1 et 61 let. c LPGA), en ce sens qu’il ne dispense pas le 10J010</w:t>
      </w:r>
    </w:p>
    <w:p>
      <w:r>
        <w:t>- 6 - juge de se prononcer sur le recours, de sorte qu’il y a lieu de rendre une décision sur le fond (TF 8C_331/2020 du 4 mars 2021 consid. 2.1 ; TF 9C_149/2017 du 10 octobre 2017 consid. 1 et les références citées). c) Aux termes de l’art. 82 al. 1 LPA-VD, applicable par renvoi de l’art. 99 LPA-VD, l’autorité peut renoncer à l’échange d’écritures ou, après celui-ci, à toute autre mesure d’instruction, lorsque le recours paraît manifestement irrecevable, bien ou mal fondé. Dans ces cas, elle rend à bref délai une décision d’irrecevabilité, d’admission ou de rejet sommairement motivée (art. 82 al. 2 LPA-VD).</w:t>
      </w:r>
    </w:p>
    <w:p>
      <w:r>
        <w:rPr>
          <w:b/>
        </w:rPr>
        <w:t>E. 3</w:t>
      </w:r>
    </w:p>
    <w:p>
      <w:r>
        <w:t>a) Dans la mesure où la décision litigieuse, rendue le 15 septembre 2025, refuse toute prestation, à la suite d’une demande déposée le 17 mai 2024, il convient d’appliquer le nouveau droit de l’assurance- invalidité en vigueur depuis le 1er janvier 2022 (ATF 148 V 21 consid. 5.3).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10J010</w:t>
      </w:r>
    </w:p>
    <w:p>
      <w:r>
        <w:t>- 7 -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10J010</w:t>
      </w:r>
    </w:p>
    <w:p>
      <w:r>
        <w:t>- 8 -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f) En l’espèce, il ressort de l’ensemble des rapports médicaux que le recourant souffre d’un trouble délirant persistant. Par ailleurs, le rapport d’expertise du 28 février 2023 fait état de répercussions sous la forme notamment de refus d’un suivi médical, d’entrave dans les démarches administratives et de refus de signer certains documents. Selon l’avis du SMR du 11 novembre 2025, ces éléments laissent entrevoir l’existence de limitations fonctionnelles, notamment sur les plans émotionnelle et relationnelle, et ils sont propres à jeter un doute sur la capacité de travail du recourant. Il y a lieu de suivre cet avis, qui conclut, de manière convaincante, que l’expertise contient des éléments objectifs dans le sens d’une atteinte psychique durable affectant significativement la capacité de travail. Dans la mesure où l’expertise, ordonnée dans le cadre civil, ne portait pas spécifiquement sur les questions des limitations fonctionnelles et de la capacité de travail, une instruction complémentaire s’avère nécessaire. Il se justifie par conséquent d'annuler la décision du 15 septembre 2025 et d’ordonner le renvoi de la cause à l’intimé – à qui il appartient au premier chef d’instruire, conformément au principe inquisitoire qui régit la procédure dans le domaine des assurances sociales selon l’art. 43 al. 1 LPGA. Il lui incombera notamment de déterminer la capacité de travail et les limitations fonctionnelles du recourant, puis de se prononcer sur son éventuel droit à des prestations.</w:t>
      </w:r>
    </w:p>
    <w:p>
      <w:r>
        <w:rPr>
          <w:b/>
        </w:rPr>
        <w:t>E. 4</w:t>
      </w:r>
    </w:p>
    <w:p>
      <w:r>
        <w:t>A titre de mesure d’instruction, le recourant a requis la mise en œuvre d’une expertise médicale. Au vu du sort du recours, il n’y a pas lieu d’y donner suite. 10J010</w:t>
      </w:r>
    </w:p>
    <w:p>
      <w:r>
        <w:t>- 9 -</w:t>
      </w:r>
    </w:p>
    <w:p>
      <w:r>
        <w:rPr>
          <w:b/>
        </w:rPr>
        <w:t>E. 5</w:t>
      </w:r>
    </w:p>
    <w:p>
      <w:r>
        <w:t>a) En définitive, le recours, manifestement bien fondé, doit être admis et la décision attaquée annulée, la cause étant renvoyée à l’OAI pour complément d’instruction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l’intimé, au vu de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