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ZD25.045208 vom 23. April 2026</w:t>
      </w:r>
    </w:p>
    <w:p>
      <w:r>
        <w:t>VD Tribunal cantonal, 2026-04-23, FR</w:t>
      </w:r>
    </w:p>
    <w:p>
      <w:r>
        <w:rPr>
          <w:b/>
        </w:rPr>
        <w:t xml:space="preserve">Quelle: </w:t>
      </w:r>
      <w:r>
        <w:t>https://mcp.opencaselaw.ch/entscheid/vd_gerichte_ZD25.045208</w:t>
      </w:r>
    </w:p>
    <w:p>
      <w:r>
        <w:t>FR: VD_GERICHTE ZD25.045208 du 23 avril 2026</w:t>
      </w:r>
    </w:p>
    <w:p>
      <w:r>
        <w:t>IT: VD_GERICHTE ZD25.045208 del 23 aprile 2026</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10J010</w:t>
      </w:r>
    </w:p>
    <w:p>
      <w:r>
        <w:t>- 8 -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Le statut d’un assuré est déterminé en fonction de la situation professionnelle dans laquelle il se trouverait s’il n’était pas atteint dans sa santé. L’assuré est réputé exercer une activité lucrative au sens de l’art. 28a al. 1 LAI dès lors qu’en bonne santé, il exercerait une activité lucrative à un taux d’occupation de 100 % ou plus. Il est réputé ne pas exercer d’activité lucrative au sens de l’art. 28a al. 2 LAI dès lors qu’en bonne santé, il n’exercerait pas d’activité lucrative. Il est enfin réputé exercer une activité lucrative à temps partiel au sens de l’art. 28a al. 3 LAI dès lors qu’en bonne santé, il exercerait une activité lucrative à un taux d’occupation de moins de 100 % (art. 24septies RAI). aa)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10J010</w:t>
      </w:r>
    </w:p>
    <w:p>
      <w:r>
        <w:t>- 9 - l’évaluation du taux d’invalidité ainsi que les facteurs de correction applicables (méthode ordinaire de comparaison des revenus ; art. 16 LPGA et 28a al. 1 LAI). bb)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(méthode « spécifique » d’évaluation de l’invalidité ; art. 28a al. 2 LAI et art. 8 al. 3 LPGA). Par travaux habituels des assurés travaillant dans le ménage, il faut entendre l’activité usuelle dans le ménage, ainsi que les soins et l’assistance apportés aux proches (art. 27 al. 1 RAI ; cf. Margit Moser-Szeless, in Dupont/Moser-Szeless [édit.], Loi sur la partie générale des assurances sociales, Commentaire romand, Bâle 2018, n° 52 ad art. 16 LPGA). cc) Le taux d’invalidité des personnes qui exercent une activité lucrative à temps partiel est déterminé par l’addition du taux d’invalidité en lien avec l’activité lucrative et du taux d’invalidité en lien avec les travaux habituels (méthode mixte d’évaluation de l’invalidité). Pour ce faire,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l’activité lucrative est ensuite déterminé selon l’art. 16 LPGA, en extrapolant le revenu sans invalidité pour une activité lucrative correspondant à un taux d’occupation de 100 %, en calculant le revenu avec invalidité sur la base d’une activité lucrative correspondant à un taux d’occupation de 100 % et en l’adaptant selon la capacité fonctionnelle déterminante, puis en pondérant la perte de gain exprimée en pourcentage en fonction du taux d’occupation qu’aurait l’assuré s’il n’était pas invalide. Quant au taux d’invalidité en lien avec les travaux habituels, il est calculé en déterminant le pourcentage que représentent les limitations dans les travaux habituels par rapport à la situation dans laquelle l’assuré serait sans invalidité, puis en pondérant le 10J010</w:t>
      </w:r>
    </w:p>
    <w:p>
      <w:r>
        <w:t>- 10 - pourcentage ainsi déterminé en fonction de la différence entre le taux d’occupation qu’aurait l’assuré s’il n’était pas invalide et une activité lucrative exercée à plein temps (art. 28a al. 3 LAI et 27bis RAI). dd)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w:t>
      </w:r>
    </w:p>
    <w:p>
      <w:r>
        <w:rPr>
          <w:b/>
        </w:rPr>
        <w:t>E. 5</w:t>
      </w:r>
    </w:p>
    <w:p>
      <w:r>
        <w:t>Aux termes de l’art. 17 al. 1 LPGA, la rente d’invalidité est, d’office ou sur demande, révisée pour l’avenir, à savoir augmentée, réduite ou supprimée, lorsque le taux d’invalidité de l’assuré subit une modification d’au moins 5 points de pourcentage (let. a), ou atteint 100 % (let. b). Tout changement important des circonstances, propre à influencer le degré d’invalidité, donc le droit à la rente, peut donner lieu à une révision de celle- 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w:t>
      </w:r>
    </w:p>
    <w:p>
      <w:r>
        <w:rPr>
          <w:b/>
        </w:rPr>
        <w:t>E. 6</w:t>
      </w:r>
    </w:p>
    <w:p>
      <w:r>
        <w:t>a) Pour fixer le degré d’invalidité, l’administration – en cas de recours, le juge – se fonde sur des documents médicaux, ainsi que, le cas échéant, des documents émanant d’autres spécialistes pour prendre 10J010</w:t>
      </w:r>
    </w:p>
    <w:p>
      <w:r>
        <w:t>- 11 -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Une évaluation économique sur le ménage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10J010</w:t>
      </w:r>
    </w:p>
    <w:p>
      <w:r>
        <w:t>- 12 -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S’agissant de la prise en compte de l’empêchement dans la réalisation des travaux habituels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 L’aide apportée par les membres de la famille à prendre en considération dans l’évaluation de l’invalidité de l’assuré au foyer va plus loin que celle à laquelle on peut s’attendre sans atteinte à la santé. Il s’agit en particulier de se demander comment se comporterait une cellule familiale raisonnable si elle ne pouvait pas s’attendre à recevoir des prestations d’assurance (ATF 133 V 504 consid. 4.2 et les références citées). La jurisprudence ne pose pas de grandeur limite au-delà de laquelle l'aide des membres de la famille ne serait plus possible (TF 8C_748/2019 du 7 janvier 2020 consid. 6.6 ; 9C_716/2012 du 11 avril 2013 consid. 4.4). L'aide exigible de tiers ne doit cependant pas devenir excessive ou disproportionnée (ATF 141 V 642 consid. 4.3.2 ; TF 9C_248/2022 du 25 avril 2023 consid. 5.3.1).</w:t>
      </w:r>
    </w:p>
    <w:p>
      <w:r>
        <w:rPr>
          <w:b/>
        </w:rPr>
        <w:t>E. 7</w:t>
      </w:r>
    </w:p>
    <w:p>
      <w:r>
        <w:t>En l’espèce, il convient de se pencher en premier lieu sur la question du statut de la recourante. L’intimé a considéré que l’intéressée, dans l’hypothèse où elle n’était pas atteinte dans sa santé, aurait exercé 10J010</w:t>
      </w:r>
    </w:p>
    <w:p>
      <w:r>
        <w:t>- 13 - une activité lucrative à un taux de 50 % et consacré le reste de son temps à l’accomplissement de ses travaux habituels depuis le 1er octobre 2022 (statut mixte). Pour sa part, la recourante a soutenu, dans ses objections du 25 juillet 2025, qu’en bonne santé, elle exercerait une activité lucrative à plein temps. a) La demi-rente d’invalidité avait été octroyée à la recourante, dès le 1er avril 2017, en se fondant sur le statut d’une personne exerçant une activité lucrative à 100 %. b) Le 9 mai 2024, dans le cadre de la révision d’office initiée par l’intimé, la recourante a indiqué que, sans atteinte à la santé, elle travaillerait au taux de 50 % et que le temps non travaillé serait consacré à s’occuper de sa fille et de son foyer. Le 23 juillet 2024, la recourante a confirmé ses déclarations en précisant que, si elle avait été en bonne santé, elle aurait travaillé à ce même taux de 50 % depuis le 22 octobre 2022, soit dès la naissance de sa fille, afin de pouvoir s’en occuper personnellement. Sur la base de ces informations, l’intimé a mis en place, le 16 mai 2025, une évaluation économique sur le ménage, laquelle a conclu que la recourante aurait consacré 50 % de son temps à l’exercice d’une activité lucrative. Ce n’est que lors de ses objections du 25 juillet 2025 que la recourante est revenue sur ses déclarations initiales en soutenant qu’elle aurait, en réalité, exercé une activité lucrative à plein temps, au motif qu’elle disposerait désormais de solutions de garde pour sa fille. A l’appui de son recours, elle a ajouté avoir répondu de manière erronée à la question de l’Office AI, précisant avoir compris que celle-ci se rapportait à sa situation actuelle en lien avec la demi-rente d’invalidité dont elle bénéficiait. De telles explications ne sauraient toutefois emporter la conviction, dès lors que les déclarations initiales de la recourante étaient claires et dénuées d’ambiguïté, celle-ci ayant expressément indiqué qu’elle aurait travaillé à un taux de 50 % dès la naissance de sa fille. Par conséquent, il y a lieu de s’en tenir aux premières déclarations, qu’il convient de privilégier aux explications nouvelles, celles-ci pouvant être consciemment ou non le fruit de réflexions ultérieures (ATF 142 V 590 consid. 5.2 ; 121 V 45 consid. 2a ; 10J010</w:t>
      </w:r>
    </w:p>
    <w:p>
      <w:r>
        <w:t>- 14 - TF 8C_697/2022 du 22 mai 2023 consid. 5.3.1 ; TF 8C_59/2022 du 6 septembre 2022 consid. 4.2.1). c) Dans ces conditions, il sied de confirmer le statut retenu par l’intimé, soit une part de 50 % consacrée à l’exercice d’une activité lucrative et une part de 50 % dévolue à l’accomplissement des travaux habituels. C’est donc à juste titre que l’intimé a considéré que la méthode mixte d’évaluation de l’invalidité était désormais applicable à la situation de la recourante (cf. ATF 147 V 124 consid. 5 et 6).</w:t>
      </w:r>
    </w:p>
    <w:p>
      <w:r>
        <w:rPr>
          <w:b/>
        </w:rPr>
        <w:t>E. 8</w:t>
      </w:r>
    </w:p>
    <w:p>
      <w:r>
        <w:t>Cela étant, il y a lieu d’examiner si l’état de santé de la recourante s’est modifié, dans une mesure susceptible d’influencer son invalidité depuis la décision du 24 mai 2019, par laquelle l’Office AI du canton de S*** avait reconnu le droit à une demi-rente d’invalidité dès le 1er avril 2017, basée sur un degré d’invalidité de 50 %. a) A l’époque, l’Office AI du canton de S*** s’était basé sur l’avis de son service médical du 16 novembre 2018. Il avait ainsi constaté que la recourante souffrait d’un ralentissement psychomoteur lié à un épisode dépressif d’intensité moyenne, ainsi que d’un manque de motivation et de volonté lié audit trouble. Dans ces circonstances, la capacité de travail de la recourante était de 50 %. b) Dans le cadre de la procédure de révision initiée au mois de mai 2024, l’intimé, se fondant sur l’avis du SMR du 4 novembre 2024, a constaté que l’état de santé de la recourante était stable. c) Confronté aux rapports des médecins traitants de la recourante, l’avis du 4 novembre 2024 du SMR n’emporte toutefois pas conviction. Certes, les rapports médicaux récents font état, pour partie, d’atteintes déjà connues. Il ressort néanmoins des rapports du 29 mai 2024 de la Dre C.________ et du 12 juin 2024 du Dr F.________ que la recourante présente désormais une incapacité totale de travail, ce qui laisse à penser que l’état de santé psychique de l’intéressée s’est aggravé depuis la date d’octroi de la demi-rente d’invalidité. En particulier, il convient de relever 10J010</w:t>
      </w:r>
    </w:p>
    <w:p>
      <w:r>
        <w:t>- 15 - que le Dr F.________ retient de manière constante, depuis l’interruption thérapeutique de grossesse survenue au mois de décembre 2019, un diagnostic de trouble dépressif récurrent sévère sans symptômes psychotiques, lequel s’accompagne d’une incapacité totale de travail (cf. les rapports des 4 août 2020, 4 février 2021 et 12 juin 2024). Or cette aggravation avait été considérée – semble-t-il de manière erronée – comme transitoire par l’assurance-invalidité dans le cadre de la première procédure de révision du droit à la rente. Dès lors, au regard des avis discordants des médecins traitants, ainsi que du fait que la recourante a allégué une dégradation de son état de santé lors des procédures de révision successives de son droit à la rente, le raisonnement développé par le SMR dans son avis du 4 novembre 2024, en tant qu’il conclut à une stabilité de l’état de santé depuis la précédente appréciation, ne saurait être suivi. d) Dans ces conditions, il convient de constater que l’instruction menée par l’intimé est lacunaire et ne permet pas de se prononcer en connaissance de cause. Dans la mesure où il n’est pas exclu, au vu des pièces médicales versées au dossier, que l’état de santé de la recourante se soit aggravé depuis la date d’octroi de la demi-rente d’invalidité, il se justifie de renvoyer la cause à l’office intimé – à qui il appartient au premier chef d’instruire, conformément au principe inquisitoire qui régit la procédure dans le domaine des assurances sociales (art. 43 al. 1 LPGA) – afin qu’il procède à un complément d’instruction sur le plan médical. Il incombera ainsi à l’intimé de compléter le dossier, en requérant des rapports médicaux auprès des médecins récemment consultés et, cas échéant, de mettre en œuvre une expertise médicale neutre, afin de clarifier les atteintes dont souffre l’assurée et leurs effets sur sa capacité de travail.</w:t>
      </w:r>
    </w:p>
    <w:p>
      <w:r>
        <w:rPr>
          <w:b/>
        </w:rPr>
        <w:t>E. 9</w:t>
      </w:r>
    </w:p>
    <w:p>
      <w:r>
        <w:t>a) Pour mesurer la capacité de la recourante dans l’accomplissement de ses travaux habituels, l’intimé s’est principalement appuyé sur le rapport d’évaluation économique sur le ménage du 19 mai 2025. Il ressort de ce rapport que le taux d’empêchement est de 4,53 %. L’enquêteur a justifié ce taux relativement bas par l’aide raisonnablement exigible de l’époux. 10J010</w:t>
      </w:r>
    </w:p>
    <w:p>
      <w:r>
        <w:t>- 16 - b) Cela étant, il n’est pas possible de reconnaître une pleine valeur probante au rapport d’enquête économique sur le ménage du 19 mai 2025. En premier lieu, il convient de relever que cette évaluation a été réalisée sur la base de renseignements médicaux lacunaires (cf. supra consid. 8d). En second lieu, le dossier contient peu d’informations relatives aux activités et à l’emploi du temps du mari de la recourante, alors même que le rapport retient à sa charge une obligation de contribuer à la diminution du dommage. Dans ces conditions, il n’est pas possible d’examiner si l’aide attendue de celui-ci est effectivement compatible avec sa situation personnelle et professionnelle, ni si elle respecte le principe de proportionnalité. Enfin, le rapport d’enquête ne fournit que des explications sommaires quant à l’ampleur de l’aide exigible requise de la part du mari pour chaque fonction partielle, alors même que les taux retenus varient sensiblement d’une fonction à l’autre. Sur ce point également, le rapport apparaît insuffisamment motivé. c) Au vu de la nécessité de renvoyer la cause à l’autorité inférieure pour qu’elle reprenne l’instruction et établisse la capacité de travail de la recourante (cf. supra consid. 8d), il se justifie de lui renvoyer également la cause pour qu’elle statue sur les empêchements de l’intéressée dans l’accomplissement de ses travaux habituels. A cet égard, l’enquête économique sur le ménage au dossier comportant plusieurs lacunes, il incombera à l’intimé d’en mettre en œuvre une nouvelle, laquelle devra tenir compte des remarques précitées.</w:t>
      </w:r>
    </w:p>
    <w:p>
      <w:r>
        <w:rPr>
          <w:b/>
        </w:rPr>
        <w:t>E. 10</w:t>
      </w:r>
    </w:p>
    <w:p>
      <w:r>
        <w:t>En définitive, le recours, bien fondé, doit être admis et la décision rendue le 25 août 2025 par l’intimé annulée, la cause lui étant renvoyée pour instruction complémentaire et nouvelle décision dans le sens des considérants.</w:t>
      </w:r>
    </w:p>
    <w:p>
      <w:r>
        <w:rPr>
          <w:b/>
        </w:rPr>
        <w:t>E. 11</w:t>
      </w:r>
    </w:p>
    <w:p>
      <w:r>
        <w:t>a) La procédure de recours en matière de contestations portant sur des prestations de l’assurance-invalidité est soumise à des frais de justice (art. 69 al. 1bis LAI). Il convient de les fixer à 600 fr. et de les mettre à la charge de la partie intimée, vu l’issue du litige. 10J010</w:t>
      </w:r>
    </w:p>
    <w:p>
      <w:r>
        <w:t>- 17 - b)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