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ZD25.042915 vom 6. Januar 2026</w:t>
      </w:r>
    </w:p>
    <w:p>
      <w:r>
        <w:t>VD Tribunal cantonal, 2026-01-06, FR</w:t>
      </w:r>
    </w:p>
    <w:p>
      <w:r>
        <w:rPr>
          <w:b/>
        </w:rPr>
        <w:t xml:space="preserve">Quelle: </w:t>
      </w:r>
      <w:r>
        <w:t>https://mcp.opencaselaw.ch/entscheid/vd_gerichte_ZD25.042915</w:t>
      </w:r>
    </w:p>
    <w:p>
      <w:r>
        <w:t>FR: VD_GERICHTE ZD25.042915 du 6 janvier 2026</w:t>
      </w:r>
    </w:p>
    <w:p>
      <w:r>
        <w:t>IT: VD_GERICHTE ZD25.042915 del 6 gennaio 2026</w:t>
      </w:r>
    </w:p>
    <w:p>
      <w:pPr>
        <w:pStyle w:val="Heading2"/>
      </w:pPr>
      <w:r>
        <w:t>Erwägungen</w:t>
      </w:r>
    </w:p>
    <w:p>
      <w:r>
        <w:rPr>
          <w:b/>
        </w:rPr>
        <w:t>E. 5</w:t>
      </w:r>
    </w:p>
    <w:p>
      <w:r>
        <w:t>a) Mal fondé, le recours est en conséquence rejeté et la décision incidente attaquée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 d) Le recourant est au bénéfice de l’assistance judiciaire. Les frais judiciaires mis à sa charge ci-avant sont donc provisoirement supportés par l’Etat et Me Christophe Tafelmacher peut prétendre une équitable indemnité pour son mandat d’office. Après examen de la liste des opérations déposée le 14 novembre 2025, compte tenu de l’importance et de la complexité du litige, il convient d’arrêter l’indemnité à 1'250 fr. 40, débours et TVA compris (art. 2, 3 al. 1 et 3bis RAJ [règlement cantonal du 7 décembre 2010 sur l’assistance judiciaire en matière civile ; BLV 211.02.3]). e) Le recourant est rendu attentif au fait qu’il devra rembourser les frais et l’indemnité provisoirement pris en charge par l’Etat dès qu’il sera en mesure de le faire (art. 122 al. 1 et 123 CPC [code fédéral de procédure civile du 19 décembre 2008 ; RS 272], applicables par renvoi de l’art. 18 al. 5 LPA-VD). Les modalités de ce remboursement sont fixées par la Direction du recouvrement de la Direction générale des affaires institutionnelles et des communes (art. 5 RAJ).</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