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ZD25.042407 vom 10. April 2026</w:t>
      </w:r>
    </w:p>
    <w:p>
      <w:r>
        <w:t>VD Tribunal cantonal, 2026-04-10, FR</w:t>
      </w:r>
    </w:p>
    <w:p>
      <w:r>
        <w:rPr>
          <w:b/>
        </w:rPr>
        <w:t xml:space="preserve">Quelle: </w:t>
      </w:r>
      <w:r>
        <w:t>https://mcp.opencaselaw.ch/entscheid/vd_gerichte_ZD25.042407</w:t>
      </w:r>
    </w:p>
    <w:p>
      <w:r>
        <w:t>FR: VD_GERICHTE ZD25.042407 du 10 avril 2026</w:t>
      </w:r>
    </w:p>
    <w:p>
      <w:r>
        <w:t>IT: VD_GERICHTE ZD25.042407 del 10 aprile 2026</w:t>
      </w:r>
    </w:p>
    <w:p>
      <w:pPr>
        <w:pStyle w:val="Heading2"/>
      </w:pPr>
      <w:r>
        <w:t>Erwägungen</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10J010</w:t>
      </w:r>
    </w:p>
    <w:p>
      <w:r>
        <w:t>- 12 -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w:t>
      </w:r>
    </w:p>
    <w:p>
      <w:r>
        <w:rPr>
          <w:b/>
        </w:rPr>
        <w:t>E. 5</w:t>
      </w:r>
    </w:p>
    <w:p>
      <w:r>
        <w:t>a) En l’espèce, par décision du 22 mai 2024 entrée en force, l’OAI a nié le droit de la recourante à une rente d’invalidité, retenant que celle-ci avait conservé une capacité de travail de 50 % dans son activité habituelle de femme de ménage, respectivement une pleine capacité de travail – avec une diminution de rendement de 20 % – dans une activité adaptée à ses limitations fonctionnelles. Par décision du 7 juillet 2025, l’intimé a refusé d’entrer en matière sur la nouvelle demande de prestations déposée par l’intéressée le 1er avril précédent. Il s’agit donc pour la Cour de céans d’examiner si les pièces médicales présentées par la recourante dans ce cadre rendent plausible une aggravation de son état de santé par rapport à la situation qui prévalait au moment où a été rendue la décision de refus de prestations. b) aa) A titre liminaire, on relèvera que, dans la mesure où la situation doit être examinée d’après l’état de fait tel qu’il se présentait à l’administration au moment où celle-ci a statué, la pièce produite en recours – à savoir le rapport du 3 septembre 2025 de la Dre D.________ –, postérieure à la décision attaquée, ne peut pas être prise en considération (cf. consid. 4c supra). bb) La recourante a déposé une première demande de prestations le 15 septembre 2022 pour diverses atteintes somatiques, dont des lombalgies et des douleurs articulaires multiples dans un contexte d’hyperlaxité. Procédant à l’instruction de cette demande, l’intimé a 10J010</w:t>
      </w:r>
    </w:p>
    <w:p>
      <w:r>
        <w:t>- 13 - recueilli divers avis médicaux, puis a mis en œuvre une expertise rhumatologique et de médecine physique et réadaptation, confiée à la Dre K.________. Dans son rapport du 10 janvier 2024, l’experte a pris en compte notamment les diagnostics de syndrome d'Ehlers-Danlos de type hypermobile, de lombalgies chroniques sur troubles statiques et troubles dégénératifs avec discopathie en L5-S1, de hernie discale paramédiane gauche, de gonalgies gauches sur arthrose débutante fémoro-tibiale interne et de périarthrite des hanches bilatérale. Les limitations fonctionnelles de l’assurée lui imposaient d’éviter le travail physique, les mouvements répétitifs en porte-à-faux du rachis dorso-lombaire, le travail en hauteur sur des escabeaux ou des échelles, la montée ou la descente répétée d’escaliers, les déplacements longs ou répétitifs, le travail avec des engins émettant des ondes à basse fréquence, le port de charge répété supérieur à 5 kg, le travail répétitif des articulations des membres supérieurs et le travail avec le membre supérieur droit en hauteur de façon répétitive, et devaient, en outre, permettre les changements de position. Selon l’experte, la capacité de travail de la recourante dans ses activités habituelles était nulle pour ce qui était des tâches de conciergerie, respectivement de 50 % dans celles de femme de ménage, alors que dans une activité adaptée à ses limitations fonctionnelles, sa capacité de travail s’élevait à 80 % – soit 100 % compte tenu d’une baisse de rendement de 20 %. Sur la base de l’avis du SMR, lequel s’est rallié aux conclusions de l’experte (cf. rapport d’examen SMR du 16 janvier 2024), l’intimé a prononcé la décision de refus de prestations du 22 mai 2024. cc) Dans le cadre de sa nouvelle demande de prestations, la recourante a produit différents rapports médicaux par le biais de la Dre D.________, dont il ressort en particulier les diagnostics nouveaux de maladie des petites fibres confirmée (cf. rapport du 25 novembre 2024 du Dr M.________), de céphalées nummulaires avec probable composante cervicogène (cf. rapport du 27 février de la Dre N.________), ainsi que de sensibilisation centrale (cf. rapport du 31 juillet 2024 du Dr L.________). On relèvera encore que le Dr L.________ a souligné, dans son rapport précité, qu’un soutien psychiatrique était absolument nécessaire, alors que le Dr O.________ a indiqué, dans son rapport du 14 janvier 2025, que sa patiente 10J010</w:t>
      </w:r>
    </w:p>
    <w:p>
      <w:r>
        <w:t>- 14 - souffrait d’anxiété impactant son sommeil. Par ailleurs, il convient de constater que l’ensemble des médecins consultés par la recourante depuis la dernière décision de refus de prestations font état d’une aggravation de son état de santé. dd) Au vu de ce qui précède, il y a lieu de retenir que la recourante a rendu plausible, par les pièces médicales versées au dossier de l’intimé, une aggravation de son état de santé susceptible d’influer son droit aux prestations depuis la décision de refus de rente rendue le 22 mai 2024. c) Par conséquent, il incombait à l’intimé – ainsi qu’il le reconnaît dans son écriture du 31 octobre 2025 – d’entrer en matière sur la nouvelle demande de prestations déposée le 1er avril 2025 et d’instruire le cas de la recourante, en vue d’établir clairement les nouvelles atteintes dont elle souffre, ainsi que leur caractère invalidant. Il se justifie, dès lors, de renvoyer la cause à l’OAI afin qu’il entre en matière sur cette demande puis, conformément au principe inquisitoire qui régit la procédure dans le domaine des assurances sociales (art. 43 al. 1 LPGA), mette en œuvre les mesures d’instruction idoines aux fins d’éclaircir la situation médicale de la recourante.</w:t>
      </w:r>
    </w:p>
    <w:p>
      <w:r>
        <w:rPr>
          <w:b/>
        </w:rPr>
        <w:t>E. 6</w:t>
      </w:r>
    </w:p>
    <w:p>
      <w:r>
        <w:t>Compte tenu de l’issue du litige, il n’y a pas lieu de donner suite à la requête de la recourante tendant à la mise en œuvre d’une expertise judiciaire.</w:t>
      </w:r>
    </w:p>
    <w:p>
      <w:r>
        <w:rPr>
          <w:b/>
        </w:rPr>
        <w:t>E. 7</w:t>
      </w:r>
    </w:p>
    <w:p>
      <w:r>
        <w:t>a) En définitive, le recours, manifestement bien fondé, doit être admis dans la mesure où il est recevable, et la décision du 7 juillet 2025 annulée, la cause étant renvoyée à l’intimé afin qu’il entre en matière sur la demande de prestations déposée le 1er avril 2025 par la recourante, instruise la cause et rende une décision sur l’éventuel droit de l’intéressée aux prestations de l’assurance-invalidité. b) La procédure de recours en matière de contestations portant sur des prestations de l’assurance-invalidité est soumise à des frais de 10J010</w:t>
      </w:r>
    </w:p>
    <w:p>
      <w:r>
        <w:t>- 15 - justice (art. 69 al. 1bis LAI). Il convient de les fixer à 600 fr. et de les mettre à la charge de l’intimé, vu l’issue du litige. c) La recourante obtient gain de cause et a droit à une indemnité de dépens à titre de participation aux honoraires de son conseil (art. 61 let. g LPGA). La liste de opérations produite par Me Hofstetter le 12 novembre 2015, faisant état de 19 heures et 5 minutes de travail, ne peut toutefois être intégralement suivie, l’activité déployée dépassant ce qu’admet la pratique de la Cour des assurances sociales dans l’estimation du temps objectivement requis pour le traitement de cas de ce genre, eu égard à l’importance et à la complexité du litige. Il convient dès lors d’arrêter cette indemnité à 2'000 fr., débours et TVA compris (art. 10 et 11 TFJDA [tarif du 28 avril 2015 des frais judiciaires et des dépens en matière administrative ; BLV 173.36.5.1]), et de la mettre à la charge de l’intimé. 10J010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