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ZD25.038837 vom 5. Mai 2026</w:t>
      </w:r>
    </w:p>
    <w:p>
      <w:r>
        <w:t>VD Tribunal cantonal, 2026-05-05, FR</w:t>
      </w:r>
    </w:p>
    <w:p>
      <w:r>
        <w:rPr>
          <w:b/>
        </w:rPr>
        <w:t xml:space="preserve">Quelle: </w:t>
      </w:r>
      <w:r>
        <w:t>https://mcp.opencaselaw.ch/entscheid/vd_gerichte_ZD25.038837</w:t>
      </w:r>
    </w:p>
    <w:p>
      <w:r>
        <w:t>FR: VD_GERICHTE ZD25.038837 du 5 mai 2026</w:t>
      </w:r>
    </w:p>
    <w:p>
      <w:r>
        <w:t>IT: VD_GERICHTE ZD25.038837 del 5 maggio 2026</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10J010</w:t>
      </w:r>
    </w:p>
    <w:p>
      <w:r>
        <w:t>- 9 -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4</w:t>
      </w:r>
    </w:p>
    <w:p>
      <w:r>
        <w:t>a)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10J010</w:t>
      </w:r>
    </w:p>
    <w:p>
      <w:r>
        <w:t>- 10 -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w:t>
      </w:r>
    </w:p>
    <w:p>
      <w:r>
        <w:rPr>
          <w:b/>
        </w:rPr>
        <w:t>E. 6</w:t>
      </w:r>
    </w:p>
    <w:p>
      <w:r>
        <w:t>a) En l’espèce, l’intimé a considéré que l’état de santé de la recourante ne s’était pas aggravé de manière à influencer ses droits depuis le rendu de sa première décision, le 14 août 2019. Il s’est, à ce titre, appuyé sur le rapport d’expertise du 15 avril 2025 du centre d'expertises Z.________. Selon ce dernier, l’assurée présentait les diagnostics principalement de troubles anxieux et dépressifs mixtes, de syndrome douloureux somatoforme persistant, de fibromyalgie, de troubles statiques du rachis et d’asthme bronchique. Sa capacité de travail était de 100 % depuis 2019 dans toute activité, exception faite d’une période de maximum huit semaines consécutive à la décompensation de l’asthme provoquée par l’infection au Covid-19 en mai 2022, durant laquelle elle était nulle. Aucune pathologie ne justifiait, de surcroît, de limitations fonctionnelles durables. 10J010</w:t>
      </w:r>
    </w:p>
    <w:p>
      <w:r>
        <w:t>- 13 - La recourante, pour sa part, a contesté la validité de cette expertise. Faisant valoir une péjoration de son état de santé depuis la décision de 2019, elle a affirmé qu’elle était dorénavant totalement incapable de travailler, ce en particulier en raison des douleurs ressenties et de ses troubles mnésiques, ainsi que de sa fatigabilité accrue. b) Cela étant, force est de constater – avec la recourante – que les conclusions de l’expertise du centre d'expertises Z.________ se révèlent, à plusieurs égards, sujettes à caution. aa) Du point de vue psychiatrique, il est difficile de comprendre sur quels éléments cliniques le Dr T.________ a fondé le diagnostic de troubles anxieux et dépressifs mixtes. Cet expert a, en effet, exposé, dans un premier temps, que l’humeur de la recourante n’était pas anxieuse, avant de déclarer, quelques lignes plus bas, son contraire, en notant une humeur anxieuse (d’intensité faible). Il a également décrit une euthymie, soit un état sans symptomatologie dépressive. Il a, au surplus, écarté l’existence d’un trouble cognitif à l’aune de ses seules observations, sans procéder à un examen détaillé des capacités attentionnelles, mnésiques et exécutives de l’assurée. Certes, il a relevé que la validité du bilan neuropsychologique de décembre 2017, lequel avait conclu à une atteinte cognitive d’intensité modérée, avait été contesté par le SMR dans son rapport du 12 août 2019, avant de reprendre, sans plus d’explication ni analyse, l’argumentaire à la base de cet avis. Ce bilan était toutefois vieux de plus de sept ans à la date de l’expertise, si bien qu’en tout état de cause, rien ne pouvait en être déduit quant aux capacités cognitives actuelles de la recourante. Le Dr T.________ a enfin fondé son appréciation de la capacité de travail de l’assurée sur un examen lacunaire des indicateurs de l’ATF 141 V 281 (cf. supra consid. 5e). Affirmant que les troubles anxieux et dépressifs mixtes et le syndrome douloureux somatoforme persistant étaient « dépourvus de critères de gravité et de sévérité », il ne s’est jamais déterminé sur le caractère prononcé des éléments diagnostics (cf. ATF 141 10J010</w:t>
      </w:r>
    </w:p>
    <w:p>
      <w:r>
        <w:t>- 14 - V 281 consid. 4.3.1.1), alors même que cette seconde atteinte à la santé présuppose un degré de gravité inhérent (cf. ATF 141 V 281 consid. 2.1.1). Il a, en outre, mis à la charge de la recourante l’arrêt du traitement antidépresseur en 2024 (cf. ATF 141 V 281 consid. 4.3.1.2), sans tenir compte du fait que cette décision avait été prise par son médecin traitant en raison de ses problèmes gastriques. La question des interactions entre les différentes atteintes psychiques et physiques comorbides (cf. ATF 141 V 281 consid. 4.3.1.3) a, de surcroît, été éludée par l’expert, ce dernier s’étant borné à spécifier, sans plus de détails, qu’« [i]l y a[vait] des diagnostics psychiatriques qui n’interf[éraient] pas avec la CT [capacité de travail], y compris la présence d’un trouble psychosomatique ». S’agissant du contexte social dans lequel évoluait l’assurée (cf. ATF 141 V 281 consid. 4.3.3), le Dr T.________ a fait état de la présence de ressources externes « familiales et amicales ». Pourtant, dans le rapport d’expertise, il n’est, à aucun moment, indiqué que la recourante côtoyait, même sporadiquement, un ou plusieurs amis. La Dre I.________ a, au contraire, constaté, dans son rapport du 30 octobre 2023, un retrait social chez sa patiente, tout en signalant, dans son rapport du 14 août 2024, que cette dernière « n’a[vait] aucune interaction sociale, mis à part sa famille proche : ses enfants et petits-enfants, ainsi que sa mère avec qui elle a[vait] des contacts une fois par semaine, surtout par WhatsApp ». Ce point n’a d’ailleurs pas été discuté par l’expert. Sur le plan de la cohérence (cf. ATF 141 V 281 consid. 4.4.1 et 4.4.2), on ne saurait voir – à l’inverse du Dr T.________ – des comportements contradictoires majeurs et rédhibitoires dans le fait qu’en 2024, la recourante se soit rendue cinq jours (cf. rapport du 12 août 2024 des Drs N.________ et G.________) – et non deux mois, comme évoqué par l’expert – en V*** pour une urgence familiale et ait participé, durant dix jours, à un pèlerinage en U***. Ces voyages avaient, en effet, été organisés par sa fratrie, de sorte qu’entourée de ses proches, les ressources physiques et intellectuels qu’elle avait dû consacrer avaient été limitées. L’assurée a, à cet égard, précisé, dans son recours, que « [c]es déplacements nécessit[ai]ent une organisation particulière, beaucoup de repos et surtout l’accompagnement constant de [s]a famille ». Ces séjours constituaient, du reste, des incohérences isolées, lesquelles ne permettent pas de tirer de déductions générales sur la capacité de travail (cf. Michael 10J010</w:t>
      </w:r>
    </w:p>
    <w:p>
      <w:r>
        <w:t>- 15 - E. Meier, Ein Jahr neue Schmerzrechtsprechung : Folgerechtsprechung zur grundlegenden Praxisänderung in BGE 141 V 281, in Jusletter 11 juillet 2016, p. 34). Il en est de même du fait que la recourante ait dû gérer, une unique fois, un imprévu, en s’organisant seule pour rentrer chez elle en train après l’expertise rhumatologique avec le Dr L.________, car la personne qui l’accompagnait n’avait finalement pas pu l’attendre. Il s’avère, pour finir, surprenant que l’expert psychiatrique se soit remis aux résultats d’une analyse pharmacologique réalisée en janvier 2019, afin d’objectiver une non-observance de la médication antidépressive. Cet examen avait été commandé par le Dr B.________ lors de l’expertise auprès du centre d'expertises A.________, laquelle concernait la première procédure ayant abouti à la décision du 14 août 2019 de refus de rente. Il ne saurait donc être pertinent dans le cadre de la procédure ayant fait suite à la seconde demande de prestations. bb) Au niveau rhumatologique, le Dr L.________ a estimé qu’il n’y avait pas de pathologie nouvelle justifiant une incapacité de travail significative et durable. Aucun élément objectif ne permettait, selon lui, d’attester une aggravation de la situation depuis l’expertise du centre d'expertises A.________ de 2019. Pourtant, le diagnostic de fibromyalgie – posé par cet expert sur la base d’un score de « 14/19 points pour les zones douloureuses […] et 9/12, à l’échelle de sévérité des symptômes » – constitue une telle nouvelle atteinte à la santé, dès lors que le Dr F.________ l’avait expressément écarté en 2019, au motif qu’il ne « retrouv[ait] pas véritablement les points typiques […] aux membres supérieurs ». Partant, les conclusions du Dr L.________, lesquelles semblent reposer, en bonne partie, sur le constat de l’absence de nouvelle pathologie, apparaissent douteuses. Il sied, au demeurant, de rappeler qu’à l’instar du syndrome douloureux somatoforme persistant, les effets de la fibromyalgie sur la capacité de travail doivent être évalués à l’aune de la procédure probatoire structurée de l’ATF 141 V 281 (cf. TF 9C_808/2019 du 18 août 2020 consid. 5.2). Le Tribunal fédéral a d’ailleurs reconnu que ces deux diagnostics présentaient plusieurs points communs, l’un étant 10J010</w:t>
      </w:r>
    </w:p>
    <w:p>
      <w:r>
        <w:t>- 16 - généralement le fait d’un médecin rhumatologue, alors que l’autre était d’ordinaire mis en évidence par un spécialiste en psychiatrie (cf. ATF 132 V 65 consid. 4.3). Or l’analyse des indicateurs est – pour ce volet également – incomplète. La question du traitement médical n’a été que brièvement abordée, tandis que celle des comorbidités a été totalement esquivée. Quant à la cohérence du comportement de la recourante, l’expert rhumatologue s’est, à son tour, contenté de mettre en avant le fait que cette dernière avait pu « faire un long voyage en 2024 », soit un élément qui, comme expliqué au considérant précédent, n’est pas relevant dans le cas d’espèce. Il a, qui plus est, soutenu que l’assurée avait fait ce déplacement « en étant autonome ». Aussi, cette affirmation se doit d’être contredite, étant donné que celle-ci avait pu profiter de l’encadrement et de l’aide de sa famille durant son séjour. c) En conséquence, au regard de l’ensemble des contradictions et imprécisions relevées ci-avant, il convient de nier toute valeur probante au rapport d’expertise du 15 avril 2025 du centre d'expertises Z.________. Il s’ensuit que c’est à tort que l’intimé s’est fondé sur ce dernier pour motiver sa décision litigieuse du 22 juillet 2025.</w:t>
      </w:r>
    </w:p>
    <w:p>
      <w:r>
        <w:rPr>
          <w:b/>
        </w:rPr>
        <w:t>E. 7</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généralement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139 V 99 consid. 1.1 ; 137 V 210 consid. 4.4.1.4 et 4.4.1.5). b) In casu, il appartient de renvoyer la cause à l’autorité intimée, dès lors que c’est à elle qu’il revient, en premier lieu, d’instruire, 10J010</w:t>
      </w:r>
    </w:p>
    <w:p>
      <w:r>
        <w:t>- 17 - conformément au principe inquisitoire qui régit la procédure dans le domaine des assurances sociales (cf. art. 43 al. 1 LPGA). Il incombera ainsi à l’OAI de mettre en œuvre une expertise médicale neutre, comportant des volets en rhumatologie et en psychiatrie, voire un volet en neuropsychologie, ainsi qu’un volet en médecine interne, compte tenu de la nécessité d’une évaluation consensuelle de la capacité de travail de la recourante.</w:t>
      </w:r>
    </w:p>
    <w:p>
      <w:r>
        <w:rPr>
          <w:b/>
        </w:rPr>
        <w:t>E. 8</w:t>
      </w:r>
    </w:p>
    <w:p>
      <w:r>
        <w:t>a) En définitive, le recours doit être admis. La décision rendue le 22 juillet 2025 par l’intimé est annulée, la cause étant renvoyée à ce dernier pour complément d’instruction dans le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la partie intimée, vu l’issue du litige. c)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