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ZD25.035882 vom 8. April 2026</w:t>
      </w:r>
    </w:p>
    <w:p>
      <w:r>
        <w:t>VD Tribunal cantonal, 2026-04-08, FR</w:t>
      </w:r>
    </w:p>
    <w:p>
      <w:r>
        <w:rPr>
          <w:b/>
        </w:rPr>
        <w:t xml:space="preserve">Quelle: </w:t>
      </w:r>
      <w:r>
        <w:t>https://mcp.opencaselaw.ch/entscheid/vd_gerichte_ZD25.035882</w:t>
      </w:r>
    </w:p>
    <w:p>
      <w:r>
        <w:t>FR: VD_GERICHTE ZD25.035882 du 8 avril 2026</w:t>
      </w:r>
    </w:p>
    <w:p>
      <w:r>
        <w:t>IT: VD_GERICHTE ZD25.035882 del 8 aprile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10J010</w:t>
      </w:r>
    </w:p>
    <w:p>
      <w:r>
        <w:t>- 10 - c) L’art. 28b LAI dispose que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w:t>
      </w:r>
    </w:p>
    <w:p>
      <w:r>
        <w:rPr>
          <w:b/>
        </w:rPr>
        <w:t>E. 4.7</w:t>
      </w:r>
    </w:p>
    <w:p>
      <w:r>
        <w:t>; TF 9C_553/2023 du 14 novembre 2024 consid. 3.2 ; TF 8C_796/2016 du 14 juin 2017 consid. 3.3).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10J010</w:t>
      </w:r>
    </w:p>
    <w:p>
      <w:r>
        <w:t>- 11 -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10J010</w:t>
      </w:r>
    </w:p>
    <w:p>
      <w:r>
        <w:t>- 12 -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En l’espèce, il est constant que le recourant n’est pas en mesure de reprendre son activité habituelle de […] indépendant à 100 %, qui plus est associé gérant d’une société à responsabilité limitée (cf. compte-rendu de la permanence du SMR du 6 juin 2024), alors qu’une activité adaptée est exigible à 50 % dès le 1er juin 2022, puis à 100 % à compter du 1er septembre suivant (cf. considérant 7b infra). En 2021, l’assuré s’est retrouvé à la tête d’une entreprise comprenant dix employés, laquelle a, peu à peu, été victime de son succès. Il en est résulté des tensions avec son associée, à laquelle il reprochait de ne pas faire sa part de travail, notamment parce que celle-ci était mère de famille. Ceci ne l’aurait pas empêchée de se mettre à le « mobber » et à chercher à vendre l’entreprise à son insu. Surchargé de travail et dépassé émotionnellement par la trahison de son associée, l’assuré a progressivement développé un état dépressif sur lequel se sont surajoutés des attaques de panique. b) Dans son rapport du 8 avril 2024, la Dre L.________ a posé pour seul diagnostic – avec effet sur la capacité de travail – celui de trouble anxieux généralisé (F41.1) à l’origine, dans une activité adaptée, d’une capacité de travail de 50 % dès le 1er juin 2022 puis de 100 % à compter du 1er septembre 2022, tandis que, dans l’activité habituelle, la capacité de travail s’était stabilisée à 50 % dès le 1er octobre 2023. c) Se fondant sur le rapport précité de la Dre L.________, l’intimé estime que l’assuré est capable de travailler à 100 % dans une activité adaptée comme employé ou avec peu de responsabilités dans le même domaine. Le recourant conteste cette position, faisant valoir que l’examen clinique psychiatrique pratiqué par la Dre L.________, ainsi que le rapport y relatif n’est pas probant, se référant en cela au rapport médical du 2 décembre 2024 de son médecin traitant, le Dr K.________. 10J010</w:t>
      </w:r>
    </w:p>
    <w:p>
      <w:r>
        <w:t>- 13 -</w:t>
      </w:r>
    </w:p>
    <w:p>
      <w:r>
        <w:rPr>
          <w:b/>
        </w:rPr>
        <w:t>E. 8</w:t>
      </w:r>
    </w:p>
    <w:p>
      <w:r>
        <w:t>Il n’y pas lieu de s’écarter du rapport d’examen clinique du 8 avril 2024 de la Dre L.________, dont les conclusions rejoignent l’analyse des psychiatres traitants et celle de l’expert F.________. a) Ce rapport remplit toutes les exigences formelles auxquelles la jurisprudence soumet la valeur probante d’un tel document. Reposant sur une anamnèse circonstanciée (familiale, scolaire et professionnelle, psychosociale et psychiatrique), il a été établi en pleine connaissance du dossier médical et assécurologique mis à disposition ainsi que sur la base d’un examen clinique complet. En outre, les plaintes du recourant ont été prises en considération et la Dre L.________ a soigneusement motivé le diagnostic incapacitant retenu. Par ailleurs, elle a discuté les options thérapeutiques envisageables, évalué la cohérence et l’authenticité, de même qu’elle a examiné la personnalité, les ressources et les difficultés du recourant. L’appréciation de la situation médicale est claire et débouche sur des conclusions dûment motivées. b) aa) S’agissant du status psychiatrique, la Dre L.________ a relevé que le recourant était vigilant, orienté dans les trois modes et plutôt sur le versant tonique avec une voix bien posée, sans sentiment de détresse ; durant l’entretien, il n’y avait pas de troubles de l’attention, de la concentration, de l’abstraction, de la mémoire ou de l’évocation ; il n’y avait pas non plus d’attitude antalgique ni présence d’un sentiment de détresse ; il n’y avait pas davantage de ralentissement psychomoteur ou de perte majeur d’intérêt. La pensée était circonstanciée avec quelques pensées automatiques et une légère fuite dans les idées ; il y avait en outre quelques réponses à côté. La Dre L.________ n’a pas constaté de délires ou d’hallucinations et il n’y avait pas de déréalisation ou de dépersonnalisation. Sur le plan de la thymie, elle n’a pas observé de tristesse ; en revanche, elle a noté une légère euphorie accompagnée de tensions intrapsychiques ; il y avait également un peu d’irritabilité et d’agitation motrice ainsi qu’un très léger théâtralisme ; s’il y avait une légère logorrhée, l’assuré conservait une prise de distance ainsi que la maîtrise de la situation et de ses propos. Il n’y avait pas d’éléments pour une phobie, hormis une aversion au téléphone et 10J010</w:t>
      </w:r>
    </w:p>
    <w:p>
      <w:r>
        <w:t>- 14 - à l’ordinateur portable. Il n’y avait pas non plus d’éléments en faveur d’un trouble de la personnalité ou d’un trouble de la lignée psychotique. bb) Concernant le degré de gravité fonctionnel, la Dre L.________ a retenu la présence d’une légère irritabilité, un peu d’agitation psychomotrice, une faible logorrhée, une légère fuite dans les idées, une fatigue avec un manque de concentration et une mauvaise mémoire (non visibles au status), une bouche sèche, un manque de précision dans les gestes, des difficultés dans les tâches administratives, une aversion à prospecter et à traiter des dossiers aussi importants qu’auparavant, une phobie du téléphone, ainsi qu’une sensibilité oculaire aux solvants. Au vu de ces éléments, elle a posé le diagnostic de trouble anxieux généralisé (F41.1) d’intensité moyenne selon le score obtenu à l’échelle d’Hamilton. Selon la médecin prénommée, ce diagnostic était incapacitant et ne permettait pas à l’assuré de reprendre une fonction de cadre ou d’indépendant à plein temps, car il persistait des éléments traumatiques actifs en lien avec son surmenage, la dissolution de son entreprise et l’état dépressif qu’il avait développé en conséquence. Le trouble anxieux généralisé devenait cliniquement plus significatif et limitant dans des situations réactivant son trauma ; ceci expliquait la différence entre les plaintes de fatigue, troubles de la concentration, oublis, difficultés de l’assuré à gérer plusieurs tâches à la fois et ce qui avait été vu dans la situation clinique. Lorsque le trauma était réactivé au travail d’indépendant, l’intéressé devenait très anxieux et il y avait une perte dans la qualité des fonctions exécutives entraînant une fatigue en raison de ses tentatives compensatoires. Ainsi, le trouble anxieux généralisé limitait l’endurance et diminuait les fonctions exécutives de l’assuré lorsqu’il était confronté à son trauma dans son activité d’indépendant. cc) Concernant le traitement, la Dre L.________ a relevé qu’il n’était pas dispensé dans les règles de l’art. En effet, l’assuré souffrait d’un trouble anxieux généralisé symptomatique amenant des limitations pour certaines activités, à l’image de son ancien emploi de cadre auprès de B.________ Sàrl, nécessitant une importante proactivité et des capacités à gérer plusieurs à tâches à la fois de manière soutenue, voire à faire de longs 10J010</w:t>
      </w:r>
    </w:p>
    <w:p>
      <w:r>
        <w:t>- 15 - trajets. A son avis, l’intéressé serait moins symptomatique en prenant un antidépresseur plus actif sur l’anxiété que le Jarsin, comme la paroxétine. Ainsi, les chances de succès d’un antidépresseur bien toléré sur l’anxiété généralisée étaient importantes et pouvaient avoir une incidence notable sur la capacité de travail. Toutefois, plusieurs essais pourraient s’avérer nécessaires avant de trouver la molécule adéquate, ce qui impliquait selon la médecin prénommée un délai estimé à six mois. dd) Les éléments recueillis dans le contexte psychosocial et la vie quotidienne ont permis à la Dre L.________ de constater que les ressources disponibles et mobilisables de l’assuré, ainsi que l’autonomie dans la vie quotidienne étaient globalement conservées. C’est ainsi qu’il s’occupait de son ménage, effectuait les courses, se promenait l’après-midi, menait une vie de couple et voyait ses parents pour le repas de midi. Il ne rénovait toutefois plus sa maison pour des raisons financières. A la mini-CIF- APP, il y avait une bonne capacité d’adaptation aux règles et routines. En revanche, la capacité de planification et de structuration était légèrement altérée, de même que la flexibilité, la capacité de changement et la capacité à mobiliser ses compétences et ses connaissances. L’aptitude à prendre des décisions et la capacité de discernement, ainsi que l’initiative et l’activité spontanée n’étaient pas affaiblies. La capacité de résistance et d’endurance était diminuée à l’anamnèse, mais pas retrouvée au status. La capacité de s’affirmer et à vivre en groupe ainsi que l’aptitude à tenir une conversation et à nouer d’étroites relations dyadiques n’étaient pas altérées. Il y avait en revanche une très légère diminution de la capacité à prendre soin de soi- même et à subvenir à ses propres besoins. La mobilité et la capacité de déplacement étaient légèrement diminuées. ee) Il n’y avait pas d’incohérences entre les symptômes, le comportement et les activités quotidiennes. Le recourant s’est par ailleurs montré coopérant durant l’entretien, même s’il avait tendance à vouloir en assurer la direction. c) Aucune pièce médicale ne justifie de s’écarter de l’analyse effectuée par la Dre L.________. Dans ce contexte, le rapport établi le 2 10J010</w:t>
      </w:r>
    </w:p>
    <w:p>
      <w:r>
        <w:t>- 16 - décembre 2024 par le Dr K.________, lequel n’est au demeurant pas psychiatre, ne permet pas de retenir la thèse d’une incapacité totale de travailler en toute activité. En effet, il ressort du dossier tel que constitué que, au moins trois spécialistes – à savoir les Drs G.________ et F.________, ainsi que J.________, psychologue FSP, dont le rapport du 19 décembre 2022 a été contresigné par le Dr BC.________, spécialiste en psychiatrie et psychothérapie – se sont prononcés sur la situation du recourant, en retenant qu’il ne présentait aucune comorbidité ou antécédent, que l’évolution médicale avait été progressivement favorable et que le pronostic était bon. Tout en confirmant que l’évolution était favorable, le Dr K.________ s’écartait de l’appréciation de ses confrères spécialistes, sans pour autant expliquer pour quelles raisons son avis serait plus convaincant. A aucun moment, il n’intégrait dans son appréciation les ressources de l’assuré, son autonomie quotidienne préservée et l’absence de répercussions significatives dans les autres domaines de la vie. Dans ces circonstances, le maintien d’une incapacité totale de travail durable et significative est difficilement compréhensible, d’autant plus que le traitement n’a pas été modifié et qu’aucun nouveau suivi spécialisé n’est décrit comme indiqué sur le plan médical. d) A la lumière de ce qui précède, il convient donc de s’en tenir – avec le SMR (cf. avis médical du 9 septembre 2025) et, corrélativement l’office AI – aux conclusions du rapport d’examen du 8 avril 2024 de la Dre L.________ et de reconnaître au recourant, sur cette base, une capacité de travail de 100 % dans une activité adaptée à compter du 1er septembre 2022.</w:t>
      </w:r>
    </w:p>
    <w:p>
      <w:r>
        <w:rPr>
          <w:b/>
        </w:rPr>
        <w:t>E. 9</w:t>
      </w:r>
    </w:p>
    <w:p>
      <w:r>
        <w:t>Il reste à examiner le degré d’invalidité du recourant. a)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et 28a al. 1 LAI). 10J010</w:t>
      </w:r>
    </w:p>
    <w:p>
      <w:r>
        <w:t>- 17 - aa)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&amp; 8C_707/2022 du 2 mai 2023 consid. 4.2.1 et les références). bb) aaa)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bbb)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10J010</w:t>
      </w:r>
    </w:p>
    <w:p>
      <w:r>
        <w:t>- 18 - sur le revenu d’invalide est nécessaire. La jurisprudence admet de procéder à une déduction de 25 % au maximum pour en tenir compte (ATF 146 V 16 consid. 4.1 ; 126 V 75). ccc) Selon l’art. 26bis al. 3 RAI, édicté sur la base de l’art. 28a al. 1 LAI et entré en vigueur au 1er janvier 2024,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b) En l’occurrence, il y a lieu, comme l’a fait l’office AI, de raisonner en deux temps, à savoir pour la période de 2022 (année d’ouverture du droit éventuel à la rente) à décembre 2023, puis pour la période postérieure au 1er janvier 2024, en raison de la modification de l’art. 26bis al. 3 RAI à cette date.</w:t>
      </w:r>
    </w:p>
    <w:p>
      <w:r>
        <w:rPr>
          <w:b/>
        </w:rPr>
        <w:t>E. 10</w:t>
      </w:r>
    </w:p>
    <w:p>
      <w:r>
        <w:t>a) aa) S’agissant du revenu sans invalidité en 2022, l’office AI s’est légitimement fondé sur les déclarations de l’employeur, qui a indiqué dans le questionnaire ad hoc complété le 22 juin 2022 que le recourant aurait perçu en 2022 un salaire annuel de 97’500 fr pour le compte de B.________ Sàrl. Faute d’être critiqué, il n’y a pas lieu de s’écarter de ce revenu. bb) Quant au revenu avec invalidité, l’assuré ne critique pas le recours aux données statistiques. Il allègue cependant que l’activité de […] est une activité de niche comportant très peu de possibilités concrètes d’emploi et que le niveau de compétences 1 doit être retenu, dès lors qu’il n’est pas en mesure d’assumer des responsabilités. aaa)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10J010</w:t>
      </w:r>
    </w:p>
    <w:p>
      <w:r>
        <w:t>- 19 -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8C_444/2021 du 29 avril 2022 consid. 4.2.3 et les arrêts cités; Jenny Castella, Le choix du niveau de compétences lors de la fixation du revenu d'invalidité fondé sur les données statistiques de l'ESS, RSAS 2023 p. 263 ss). L'application du niveau 2 se justifie uniquement si la personne assurée dispose de compétences ou de connaissances particulières (TF 9C_780/2023 du 23 avril 2024 consid. 3.2 et la référence citée). bbb) Dans la décision attaquée, l’intimé a déterminé le revenu d’invalide sur la base de l’ESS 2022 (TA1_tirage_skill_level), dont il a retenu le salaire s’appliquant à la branche économique « Arts, spectacles et activités récréatives » (lignes 90 à 93), pour un homme mettant en valeur un niveau de compétences 2, à savoir 5'437 francs. En l’occurrence, il convient de rappeler que la fonction d’associé gérant correspond au niveau de compétences 4 (cf. considérant 10a/bb/aaa ci-dessus). L’assuré a travaillé dans le domaine de […] depuis 1986 auprès de l’atelier BF.________ 10J010</w:t>
      </w:r>
    </w:p>
    <w:p>
      <w:r>
        <w:t>- 20 - SA à V*** avant d’œuvrer en tant qu’associé gérant auprès de B.________ Sàrl de 2012 à 2021. Il a donc plus de vingt ans d’expérience dans le domaine de […]. Dès lors que l’exercice de cette activité demeure exigible à 100 % à condition de ne pas comporter de responsabilités dirigeantes, il n’y a pas lieu de s’écarter du niveau de compétences 2 tel que retenu par l’office AI. Pour le reste, le recourant ne remet pas en question les étapes intermédiaires du calcul opérées par l’intimé (adaptation du salaire statistique à la durée hebdomadaire moyenne usuelle dans les entreprises), de même que l’abattement de 5 % effectué en raison de son âge. Partant, il n’y a pas lieu de s’écarter du revenu d’invalide fixé à 64'565 fr. 97. cc) En définitive, la comparaison des revenus avant et après invalidité aboutit à un degré d’invalidité de 33,78 %, arrondi à 34 %. b) aa) Pour la période postérieure à 2024 et s’agissant du revenu sans invalidité de 97'500 fr., il convient de procéder à son indexation à 2024 (1,7 % en 2023 et 1,2 % en 2024), d’où un revenu de 100'347 fr. 40. bb) Quant au revenu avec invalidité, il convient de se fonder, à l’instar de l’intimé, sur l’ESS 2022 (TA1_tirage_skill_level) et de retenir le salaire s’appliquant à la branche économique « Arts, spectacles et activités récréatives » (lignes 90 à 93), pour un homme mettant en valeur un niveau de compétences 2, à savoir 5'437 fr., part au treizième salaire comprise, soit 67'964 fr. 18 par an compte tenu de la durée hebdomadaire de travail dans les entreprises de 41,7 heures (cf. tableau « Durée normale de travail dans les entreprises selon la division économique », établi par l’Office fédéral de la statistique). Etant donné les indexations de 1,7 % en 2023 et 1,2 % en 2024, on aboutit à un revenu de 69'949 francs. Il s’ensuit que, compte tenu d’un abattement automatique de 10 % eu égard à l’art. 26bis al. 3 RAI, le revenu d’invalide s’élève à 62'954 fr. 10. cc) Partant, la comparaison des revenus avant et après invalidité aboutit à un degré d’invalidité de 37,26 %, arrondi à 37 %. 10J010</w:t>
      </w:r>
    </w:p>
    <w:p>
      <w:r>
        <w:t>- 21 -</w:t>
      </w:r>
    </w:p>
    <w:p>
      <w:r>
        <w:rPr>
          <w:b/>
        </w:rPr>
        <w:t>E. 11</w:t>
      </w:r>
    </w:p>
    <w:p>
      <w:r>
        <w:t>Dans un dernier moyen, le recourant sollicite de l’intimé une aide à la réinsertion professionnelle.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placement à l’essai, location de services, allocation d’initiation au travail, indemnité en cas d’augmentation des cotisations, et aide en capital). b)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10J010</w:t>
      </w:r>
    </w:p>
    <w:p>
      <w:r>
        <w:t>- 22 -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Michel Valterio, Commentaire de la Loi fédérale sur l’assurance-invalidité [LAI], Genève/Zurich/Bâle 2018, n° 10 ad art. 8 LAI, p. 102 et la référence citée). c) Sur ce point, l’office AI pouvait valablement se fonder sur les constats opérés par ses spécialistes en réinsertion professionnelle dans leurs rapports des 23 mai 2024 et 12 juin 2025 et considérer, sur cette base, qu’aucune mesure professionnelle n’était envisageable. Au vu de l’âge du recourant et de ses limitations fonctionnelles, à savoir de la fatigue, ainsi que des difficultés à se concentrer et à accomplir des tâches administratives, l’office AI a estimé qu’une nouvelle formation certifiante n’était pas envisageable ; en effet, une telle mesure ne revêtirait pas un caractère approprié, simple et adéquat. Au demeurant, l’assuré est au bénéfice de connaissances étendues acquises tout au long de son parcours professionnel et d’une expérience dans le domaine de […] suffisamment reconnue pour lui avoir permis de créer une entreprise et d’assumer plusieurs mandats d’envergure. Si les activités dans le domaine du recrutement, de la gestion d’équipes et de la recherche de projets et de clients ne sont plus exigibles, elles démontrent néanmoins de bonnes facultés intellectuelles chez le recourant qui dispose en outre de connaissances dans le domaine de la recherche et de la publication scientifiques. Il convient par conséquent de retenir que l’assuré est en mesure de poursuivre son activité habituelle de […], mais sans fonction exécutive, ce qui exclut l’octroi de mesures de réadaptation.</w:t>
      </w:r>
    </w:p>
    <w:p>
      <w:r>
        <w:rPr>
          <w:b/>
        </w:rPr>
        <w:t>E. 12</w:t>
      </w:r>
    </w:p>
    <w:p>
      <w:r>
        <w:t>En définitive, le recours, mal fondé, doit être rejeté et la décision attaquée confirmée. 10J010</w:t>
      </w:r>
    </w:p>
    <w:p>
      <w:r>
        <w:t>- 23 -</w:t>
      </w:r>
    </w:p>
    <w:p>
      <w:r>
        <w:rPr>
          <w:b/>
        </w:rPr>
        <w:t>E. 13</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10J010</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