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ZD25.033288 vom 9. Februar 2026</w:t>
      </w:r>
    </w:p>
    <w:p>
      <w:r>
        <w:t>VD Tribunal cantonal, 2026-02-09, FR</w:t>
      </w:r>
    </w:p>
    <w:p>
      <w:r>
        <w:rPr>
          <w:b/>
        </w:rPr>
        <w:t xml:space="preserve">Quelle: </w:t>
      </w:r>
      <w:r>
        <w:t>https://mcp.opencaselaw.ch/entscheid/vd_gerichte_ZD25.033288</w:t>
      </w:r>
    </w:p>
    <w:p>
      <w:r>
        <w:t>FR: VD_GERICHTE ZD25.033288 du 9 février 2026</w:t>
      </w:r>
    </w:p>
    <w:p>
      <w:r>
        <w:t>IT: VD_GERICHTE ZD25.033288 del 9 febbraio 2026</w:t>
      </w:r>
    </w:p>
    <w:p>
      <w:pPr>
        <w:pStyle w:val="Heading2"/>
      </w:pPr>
      <w:r>
        <w:t>Erwägungen</w:t>
      </w:r>
    </w:p>
    <w:p>
      <w:r>
        <w:rPr>
          <w:b/>
        </w:rPr>
        <w:t>E. 3</w:t>
      </w:r>
    </w:p>
    <w:p>
      <w:r>
        <w:t>Le litige porte sur le droit du recourant à l'octroi d'une rente entière d’invalidité dès le 1er février 2022, sans limitation dans le temps.</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- 20 -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4.3</w:t>
      </w:r>
    </w:p>
    <w:p>
      <w:r>
        <w:t>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w:t>
      </w:r>
    </w:p>
    <w:p>
      <w:r>
        <w:t>- 25 -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Lorsque la rente a été refusée parce que le degré d’invalidité était insuffisant, la nouvelle demande ne peut être examinée que si la personne assurée rend plausible que son invalidité s’est modifiée</w:t>
      </w:r>
    </w:p>
    <w:p>
      <w:r>
        <w:t>- 21 -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- 22 -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- 23 -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Cela vaut également lorsqu’un ou plusieurs médecins ont émis une opinion divergeant de celle de l’expert (TF 9C_268/2011 précité consid. 6.1.2 et les références citées).</w:t>
      </w:r>
    </w:p>
    <w:p>
      <w:r>
        <w:rPr>
          <w:b/>
        </w:rPr>
        <w:t>E. 7</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w:t>
      </w:r>
    </w:p>
    <w:p>
      <w:r>
        <w:t>- 24 -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8</w:t>
      </w:r>
    </w:p>
    <w:p>
      <w:r>
        <w:t>a) En l’espèce, l’OAI est entré en matière sur la nouvelle demande de prestations déposée le 16 août 2021 par le recourant et a ordonné la mise en œuvre d'une expertise pluridisciplinaire, avec volets en médecine interne générale, chirurgie orthopédique et trauma, médecine physique et réadaptation et psychiatrie, laquelle a été confiée au BL.________. La valeur probante du rapport d'expertise du 4 septembre 2023 et de son complément du 13 novembre 2023 est remise en cause par le recourant. Il convient de constater que le rapport du 4 septembre 2023 remplit a priori les réquisits jurisprudentiels pour se voir conférer pleine valeur probante. Les experts ont en effet procédé à des examens cliniques minutieux du recourant, après avoir complété les pièces de son dossier, et ont fourni un tableau clinique exhaustif et cohérent de sa situation. Leurs conclusions résultent de leur appréciation consensuelle. Les experts se sont également prononcés sur le cas du recourant à l’aune des indicateurs pertinents dégagés par la jurisprudence fédérale (cf. consid. 7 ci-dessus). Ils ont ainsi retenu une capacité de travail nulle de l'assuré dans son activité habituelle depuis 2001 et une capacité de travail de 70 % dans une activité adaptée depuis 2015, avec des périodes d'incapacités totales récurrentes et transitoires pour des raisons psychiatriques. Sur le plan de la médecine interne générale, le Dr BG.________ retient les diagnostics d'obésité exogène (E66), de diabète insulino- requérant depuis 2015 (E10), de syndrome d'apnées du sommeil non appareillé depuis 2015 mais le score d'Epworth n'est pas pathologique (G47.3), d'hypertension artérielle traitée (I10), de rétinopathie débutante</w:t>
      </w:r>
    </w:p>
    <w:p>
      <w:r>
        <w:t>- 26 - d'origine diabétique et de lithiase vésiculaire avec un épisode de cholécystite il y a des années. La capacité de travail de l'assuré est de 70 % (taux de 100 % avec une diminution du rendement de 30 %) depuis 2015, dans le cadre du diabète insulino-requérant avec instabilité, avec nécessité de collations, d'injections d'insuline et de contrôle de la glycémie ainsi que du syndrome d'apnées du sommeil non appareillé qui induit de la fatigue mais sans somnolence diurne. Sur le plan de la chirurgie orthopédique et trauma, le Dr BJ.________ pose les diagnostics de spondylolisthésis L5-S1 avec lyse isthémique (M43.16), de spondylarthrose étagée (M47.9), de status après spondylodèse L5-S1 (Z98.1), de coxarthrose bilatérale débutante (M16.9), d'hallux valgus bilatéral (M20.1), de status après cure d'hallux valgus bilatéral (Z98.1), d'atteinte de la coiffe des rotateurs épaule gauche (M75.1) et de status après cure de canal carpien bilatéral (G56.0). L'expert souligne qu'au vu des atteintes dégénératives, il en résultera des troubles fonctionnels avec des pertes de capacité. Concernant les ressources, au vu des diverses tentatives de reprise du travail, de la longue durée de l'incapacité et de la présence de signes de non-organicité, un retour de l'expertisé sur le premier marché du travail ne semble pas être possible. L'expert note également un certain isolement, une absence d'intérêt pour toutes activités, ainsi que des antécédents dépressifs qui viennent encore assombrir le pronostic d'une éventuelle reprise d'activité professionnelle ou d'une reconversion. L'activité habituelle de magasinier n'est pas exigible depuis le 9 novembre 2001. Pour le Dr BJ.________, la capacité de travail est de nouveau totale à partir du 10 décembre 2002, nulle du 2 mars 2020 au 31 mars 2022, puis à nouveau de 100 % comme magasinier avec des limitations fonctionnelles (port de charge inférieur à cinq kilos, position statique assise ou debout prolongée, mouvement en porte-à-faux du tronc et mouvement de rotation répétitif du tronc, déplacement sur terrain inégal, déplacement prolongé sur terrain plat, positions contraignantes pour les pieds et les chevilles telles que des positions à genoux ou accroupie, absence de mouvement répétitif avec l'épaule gauche, pas d'activité au-dessus du plan des épaules, pas de port de</w:t>
      </w:r>
    </w:p>
    <w:p>
      <w:r>
        <w:t>- 27 - charge à hauteur d'épaule supérieur à deux kilos notamment si son contenu est répétitif). Sur le plan de la médecine physique et réadaptation, le Dr CL.________ retient les diagnostics de lombalgie non déficitaire sur discopathies multi-étagées, antélisthésis de L5 sur S1 de grade I et arthrose facettaire postérieure (M51.3), status après sponlydolésie L5 S1 le 20 octobre 2001 pour spondylolyse bilatérale de L5. L'extension des douleurs aux membres inférieurs en postérieur est vraisemblablement en lien avec un raccourcissement des chaines musculaires postérieures, de tassement vertébral D11 stable, d'allure ancienne (M48.5), de cervicalgie non déficitaire (M50.3) sur arthrose, d'omalgies gauches sur possible tendinopathie de la coiffe des rotateurs (M75.1) et de douleurs mécaniques des pieds des deux côtés et talalgies droites, sur troubles dégénératifs modérés et hallux valgus bilatéral, status après cure d'hallux valgus bilatéral et orteils en griffe des deux côtés en 2020 et en 2021. Cet expert indique que la capacité de travail est nulle dans l'activité de magasinier depuis 2001 et que la situation n'a pas significativement évolué au niveau du dos. Un tassement D11 devrait néanmoins être bilanté afin de dépister/traiter une éventuelle ostéoporose. Dans une activité adaptée respectant les limitations fonctionnelles du rachis dorsolombaire, cervical et des pieds, la capacité de travail a toujours été entière. Les restrictions fonctionnelles du rachis dorsolombaire, cervical et des membres inférieurs sont : pas de mouvement répétitif des membres supérieurs, pas de travail soutenu au-delà de l'horizontal concernant les membres supérieurs, pas de position en porte-à-faux sur le tronc, pas de position statique debout ou assise prolongée avec changement possible de position chaque trente minutes, pas de port répété de charge supérieure à dix kilos, pas de marche sur longue distance supérieure à une heure et pas d'utilisation fréquente d'escaliers et d'escabeaux. Sur le plan psychiatrique, la Dre BK.________ retient les diagnostics de trouble dépressif récurrent, épisode actuel léger (F33.0) ainsi que de troubles mentaux et troubles du comportement, liés à l'utilisation d'alcool, syndrome de dépendance, actuellement abstinent</w:t>
      </w:r>
    </w:p>
    <w:p>
      <w:r>
        <w:t>- 28 - (F10.20). Les pathologies qui influencent l'état de santé sont une accentuation de certains traits de personnalité de type dépendant (Z73.1) et un sujet attendant d'être admis dans un établissement adéquat (Z75.1). En lien avec son estimation, cette experte indique que les capacités de travail de l'assuré ont fluctué selon ses décompensations psychiatriques (incapacités totales en 2010, en 2013, d'octobre à novembre 2015, en octobre 2016 en mars 2017 et en avril 2022 ; capacité de travail entière en septembre 2015 et juin 2016). Entre ces périodes il existe une capacité de travail de 50 % dans une activité adaptée. Depuis la fin septembre 2022, la capacité de travail est entière dans une activité adaptée dans un environnement bienveillant où l'assuré n'aurait que peu d'interactions sociales. La Dre BK.________ expose à satisfaction les éléments ressortant de son examen clinique et des pièces du dossier lui permettant de qualifier de « léger » l’épisode induit par le trouble dépressif récurrent. Elle a au surplus discuté les diagnostics posés par ses confrères en relation avec l’anamnèse et les plaintes du recourant (cf. volet psychiatrique de l'expertise, p. 41). On ajoutera que l’experte psychiatre se prononce en se référant à la grille d’indicateurs préconisée par la jurisprudence fédérale (cf. consid. 7 supra). Quant à l'appréciation générale interdisciplinaire, elle permet de se convaincre que les experts ont tenu compte de l'intrication des multiples atteintes à la santé tant physique que psychique dont souffre le recourant, respectivement de leurs répercussions sur la capacité de travail. b) La Cour de céans n'a aucun motif de s'écarter des constatations et des conclusions du rapport d'expertise pluridisciplinaire du 4 septembre 2023, qui peut se voir reconnaître une pleine valeur probante, étant constant que le recourant ne présente plus de capacité de travail dans son activité habituelle de magasinier depuis 2001. Les rapports médicaux dont se prévaut le recourant (rapports des 20 avril et 21 octobre 2022 du Dr N.________, du 20 août 2022 du Dr L.________) ont bien été pris en compte par les experts.</w:t>
      </w:r>
    </w:p>
    <w:p>
      <w:r>
        <w:t>- 29 - Pour le surplus, les rapports des 12 avril 2024 du Dr N.________, du Dr BC.________ du 14 mai 2024, et du Dr K.________ du 31 mai 2024, ne viennent pas remettre sérieusement en cause l'appréciation des experts, comme l'a relevé avec pertinence le SMR en particulier dans ses avis des 1er octobre 2024 et 9 mai 2025. Cela étant, on ne comprend effectivement pas pour quelles raisons les experts du BL.________ ont retenu une amélioration de l'état de santé sur le plan psychiatrique en septembre 2022. Le fait que le recourant ait séjourné à la BD.________ à la fin septembre 2022 ne signifie pas, même si l'intéressé a bénéficié du soutien de soignants en cas d'angoisse la nuit et qu'il a participé aux activités comme le barbecue où il s'est fait quelques amis, que son état de santé psychique se soit amélioré dans une mesure significative depuis lors. Cette hospitalisation n'a pas modifié la situation, du moins les experts ne mettent-ils pas en évidence d'éléments de nature à retenir une telle modification. Le recourant, comme l'OAI, ne contestent pour le surplus pas le début de l'incapacité de travail durable en 2016. Enfin, s'agissant des limitations fonctionnelles, comme l'observe le recourant, ce sont en effet conformément au point 4.9 de l'évaluation consensuelle du rapport d'expertise un port de charge limité à cinq kilos et à hauteur d'épaule limité à deux kilos qui aurait dû être retenu par l'intimé.</w:t>
      </w:r>
    </w:p>
    <w:p>
      <w:r>
        <w:rPr>
          <w:b/>
        </w:rPr>
        <w:t>E. 9</w:t>
      </w:r>
    </w:p>
    <w:p>
      <w:r>
        <w:t>a) Pour évaluer le degré d'invalidité,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sous-variants, la méthode de comparaison en pour-</w:t>
      </w:r>
    </w:p>
    <w:p>
      <w:r>
        <w:t>- 30 - cent (ATF 114 V 310 consid. 3a et les références) et la méthode extraordinaire de comparaison des revenus (ATF 128 V 29 ; voir également TF 9C_236/2009 du 7 octobre 2009 consid. 3 et 4, in : SVR 2010 IV n° 11 p. 35). b)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(ATF 138 V 457 consid. 3.1 ; TF 8C_661/2023 du 21 mai 2024 consid. 5 ; MARGIT MOSER-SZELESS, in DUPONT/MOSER-SZELESS [édit.], Loi sur la partie générale des assurances sociales, Commentaire romand, Bâle 2025, n. 24 ad art. 7 LPGA).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8C_627/2023 du 3 juillet 2024 consid. 7.2 ; TF 8C_661/2023 précité).</w:t>
      </w:r>
    </w:p>
    <w:p>
      <w:r>
        <w:rPr>
          <w:b/>
        </w:rPr>
        <w:t>E. 10</w:t>
      </w:r>
    </w:p>
    <w:p>
      <w:r>
        <w:t>a) Il reste à examiner la question de l'exploitabilité de la capacité de travail résiduelle du recourant.</w:t>
      </w:r>
    </w:p>
    <w:p>
      <w:r>
        <w:t>- 31 - b) A cet égard, selon les limitations fonctionnelles retenues par l'intimé, et complétées par un port de charge limité à cinq kilos et à hauteur d'épaule limité à deux kilos (cf. consid. 8 ci-dessus), le profil d'exigibilité est le suivant : le recourant n'est pas en mesure de faire de mouvement répétitif avec les membres supérieurs, un travail soutenu au- delà de l'horizontal concernant les membres supérieurs, d'être en position en porte-à-faux sur le tronc, en position statique debout ou assise prolongée (changement possible de position chaque trente minutes), de faire un port répété de charge supérieure à cinq kilos (et à hauteur d'épaule de charge supérieure à deux kilos), de marcher sur longue distance supérieure à une heure, d'utiliser fréquemment des escaliers et des escabeaux, de se déplacer sur terrain inégal, et d'être en position contraignante pour les pieds et les chevilles telles des positions à genoux ou accroupie. En raison des difficultés dans les interactions sociales et d'un besoin d'étayage, le recourant doit exercer une activité professionnelle dans un environnement bienveillant. Enfin, en raison de son diabète, il présente une fatigabilité et doit effectuer des contrôles réguliers de la glycémie avec la nécessité de collations et d'injections d'insuline. Il convient de retenir, comme le soutient le recourant, que le profil en question est tellement limité que, même en tenant compte des emplois de niche (cf. TF 9C_21/2022 consid. 2.3.1), il n'existe plus de capacité de travail exploitable sur le marché du travail équilibré : le recourant est non seulement contraint d'exercer une activité très limitée sur le plan somatique compte tenu de ses atteintes sur ce plan, mais il est également soumis à des restrictions supplémentaires sur le plan psychiatrique, en raison de ses difficultés dans les interactions sociales, d'un besoin d'étayage, et d'une activité devant être exercée dans un environnement professionnel bienveillant. Or à cet égard les activités retenues par le service de réadaptation dans son rapport du 9 février 2024 auquel se réfère l'OAI (travail simple dans le domaine industriel léger, par exemple montage, contrôle ou surveillance d'un processus de production, ouvrier à l'établi dans des activités simples et légères, ouvrier dans le</w:t>
      </w:r>
    </w:p>
    <w:p>
      <w:r>
        <w:t>- 32 - conditionnement léger, ou comme aide administratif [réception, scannage et autres]) ne paraissent pas appropriées sans une concession irréaliste de la part d'un employeur moyen. Au point 4.4 de l'évaluation consensuelle du rapport d'expertise, il est noté que le recourant a des difficultés à planifier et à structurer les tâches, n'est pas flexible, a du mal à prendre des décisions, n'est pas persévérant, n'arrive pas à s'assumer lui-même, a de mauvaises relations avec les autres, n'a pas d'activités en groupe et des ressources externes pratiquement inexistantes, sa seule ressource interne étant son activité de magasinier qui n'est plus adaptée à son état de santé depuis 2001. c) Ainsi, en l'absence d'exploitabilité économique de la capacité de travail résiduelle sur un marché du travail équilibré, il faut reconnaître que le recourant présente une incapacité totale de gain (cf. dans ce sens TF 9C_40/2022 du 15 mars 2023 consid. 5.5 ; TF 9C_21/2022 du 15 juin 2022 consid. 3.2.3 ; TF 9C_766/2019 du 11 septembre 2020 consid. 4.5 et la référence citée).</w:t>
      </w:r>
    </w:p>
    <w:p>
      <w:r>
        <w:rPr>
          <w:b/>
        </w:rPr>
        <w:t>E. 11</w:t>
      </w:r>
    </w:p>
    <w:p>
      <w:r>
        <w:t>a) Il s’ensuit que le recours doit être admis et la décision de l’intimé du 6 juin 2025 doit être réformée dans le sens de l'octroi au recourant d’une rente entière d’invalidité dès le 1er février 2022 (cf. art. 28b al. 3 LAI), sans limitation dans le temps.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Après examen de la liste des opérations déposée le 17 novembre 2025 par Me Didier Elsig, compte tenu de l’importance et de la complexité du litige, il convient d’arrêter l’indemnité à 3'500 fr., débours et TVA compris, et de la mettre intégralement à la charge de l'intimé (art. 10 et 11 TFJDA [tarif du 28 avril 2015 des frais judiciaires et</w:t>
      </w:r>
    </w:p>
    <w:p>
      <w:r>
        <w:t>- 33 - des dépens en matière administrative ; BLV 173.36.5.1]). Le montant des dépens arrêté ci-avant correspond au moins à ce qui aurait été alloué à titre d'indemnité pour le mandat d'office. Il n'y a donc pas lieu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