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ZD25.030954 vom 19. Januar 2026</w:t>
      </w:r>
    </w:p>
    <w:p>
      <w:r>
        <w:t>VD Tribunal cantonal, 2026-01-19, FR</w:t>
      </w:r>
    </w:p>
    <w:p>
      <w:r>
        <w:rPr>
          <w:b/>
        </w:rPr>
        <w:t xml:space="preserve">Quelle: </w:t>
      </w:r>
      <w:r>
        <w:t>https://mcp.opencaselaw.ch/entscheid/vd_gerichte_ZD25.030954</w:t>
      </w:r>
    </w:p>
    <w:p>
      <w:r>
        <w:t>FR: VD_GERICHTE ZD25.030954 du 19 janvier 2026</w:t>
      </w:r>
    </w:p>
    <w:p>
      <w:r>
        <w:t>IT: VD_GERICHTE ZD25.030954 del 19 gennaio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- 11 -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w:t>
      </w:r>
    </w:p>
    <w:p>
      <w:r>
        <w:t>- 12 -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dd) Selon l’art. 26bis al. 3 RAI dans sa teneur en vigueur dès le 1er janvier 2024, édicté sur la base de l’art. 28a al. 1 LAI, une déduction de 10 % est opérée sur la valeur statistique visée à l’al. 2, si en dépit de son invalidité, l'assuré peut encore travailler avec une capacité fonctionnelle au sens de l'art. 49 al. 1bis RAI supérieure à 50 %. Aucune déduction supplémentaire n'est possible.</w:t>
      </w:r>
    </w:p>
    <w:p>
      <w:r>
        <w:rPr>
          <w:b/>
        </w:rPr>
        <w:t>E. 5</w:t>
      </w:r>
    </w:p>
    <w:p>
      <w:r>
        <w:t>a) Dans le domaine des assurances sociales, le juge fonde sa décision, sauf dispositions contraires de la loi, sur les faits qui, faute d’être établis de manière irréfutable, apparaissent comme les plus</w:t>
      </w:r>
    </w:p>
    <w:p>
      <w:r>
        <w:t>- 13 -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w:t>
      </w:r>
    </w:p>
    <w:p>
      <w:r>
        <w:t>- 14 -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w:t>
      </w:r>
    </w:p>
    <w:p>
      <w:r>
        <w:t>- 15 -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a) En l'espèce, l'OAI a nié le droit à une rente d'invalidité au recourant en se fondant sur le rapport d'expertise pluridisciplinaire du 17 février 2025 de la BD.________, avec volets en psychiatrie, en neurologie, en neuropsychologie et en rhumatologie. Les experts ont retenu que depuis août 2019, le recourant dispose d'une capacité de travail entière, avec une baisse de rendement de 20 % en raison de la fatigue, dans une activité adaptée tenant compte de ses limitations fonctionnelles, lesquelles sont exclusivement d'ordre neurologique et rhumatologique. Les experts en neuropsychologie et en psychiatrie sont parvenus à la conclusion qu'ils ne pouvaient pas retenir de diagnostics incapacitants. Sur cette base, le préjudice économique du recourant calculé par l'intimé s’élevait à 24 % en 2020 et à 28 % en 2024, insuffisant pour ouvrir le droit à une rente d’invalidité. b) aa) A l'appui de son acte de recours du 30 juin 2025, le recourant ne remet pas en cause le bien-fondé des conclusions expertales sur les plans de la rhumatologie, de la neuropsychologie et de la psychiatrie. Il n'y a donc pas lieu de revenir sur ces différents volets, étant simplement constaté que les rapports d’expertise remplissent les réquisits jurisprudentiels pour se voir accorder une pleine valeur probante. En effet, les experts ont arrêté les atteintes à la santé du recourant en prenant en compte l’ensemble des pièces au dossier, les plaintes de l'intéressé et leurs propres constatations cliniques et ils ont posé des anamnèses complètes. bb) Le recourant estime en revanche que sa capacité de travail sous l'angle neurologique, compte tenu de ses crises d'épilepsie fréquentes et imprévisibles, est nulle en toute activité. Il convient à cet égard de relever en premier lieu, les nombreuses incohérences mises en</w:t>
      </w:r>
    </w:p>
    <w:p>
      <w:r>
        <w:t>- 16 - évidence tant par les experts de la BD._______ que par la médecin traitante de l'assuré (la Dre G.________), laquelle met en doute les atteintes à la santé alléguées par le recourant (cf. note d'entretien téléphonique du 24 novembre 2023). De son côté, l'expert neurologue a étudié l'ensemble des rapports médicaux concernant sa spécialité médicale au dossier, y compris un rapport de consultation du 9 janvier 2025 du Prof. P.________ et de la Dre E.________ qui ne figurait pas au dossier médical mis à sa disposition. Cet expert a recueilli les plaintes du recourant et a dressé l'anamnèse dont il ressort que la fréquence des crises d'épilepsies était alors estimée à trois par mois, lesquelles survenaient systématiquement pendant le sommeil, étant décrites par la conjointe, l'intéressé ne constatant que l'urination ou la morsure de sa langue (cf. volet neurologique de l'expertise, p. 4). L'expert a également noté une fatigue ressentie par l'assuré, d'étiologie certainement multifactorielle, mais qui faisait potentiellement intervenir les traitements antiépileptiques, à savoir l'Ontozry et le Topiramate (cf. volet neurologique de l'expertise, pp. 7 et 8). Posant le diagnostic d'épilepsie à point de départ fronto-temporal droit avec bilatéralisation secondaire morphéique, d'origine inconnue (cryptogénique) (G40.1), cet expert retient une capacité de travail de 100 %, avec une baisse de rendement de 20 % en lien avec la fatigue, dans une activité adaptée tenant compte des limitations fonctionnelles suivantes : pas de transport de personnes, pas de conduite de poids lourds et pas d'horaires de travail de nuit. cc) S'agissant des répercussions de l'état de santé déficient du recourant sur son aptitude à travailler, il convient de relever que la Dre G.________ conclut qu'il n'y a de toute façon pas d'incapacité de travail en lien avec l'épilepsie (déjà présente à l'entrée en Suisse) si ce n'est éventuellement pour le travail de nuit. La médecin traitante conclut à une capacité de travail entière dans une activité adaptée (rapports du 24 août 2020, du 1er novembre 2021, du 20 janvier 2023 et entretien téléphonique du 24 novembre 2023). dd) De leur côté, les médecins du Service de neurologie du CHUV sont plus hésitants. Ainsi, les Drs J.________ et N.________ ont retenu une pleine capacité de travail dans une activité adaptée (rapport du 27</w:t>
      </w:r>
    </w:p>
    <w:p>
      <w:r>
        <w:t>- 17 - novembre 2020) alors que les Drs K.________ et L.________ ont retenu une capacité de travail partielle, à 80 %, avec baisse de rendement (rapports des 27 octobre 2021 et 1er mars 2022), que le Prof. BB.________ et la Dre BC.________ l'ont estimée à 70 % (rapport du 28 août 2023) et que le Prof. P.________ l'a évaluée à environ 60 % (rapport du 5 mai 2023). Il ressort cependant de ces divers rapports que ces médecins tiennent compte de troubles relevant de la neuropsychologie. Or, en l'absence de diagnostic neuropsychologique, il n'a pas été retenu de limitations fonctionnelles cognitives avec répercussion sur la capacité de travail dans le cadre de l'expertise de la BD.________ (cf. volet neuropsychologique de l'expertise, p. 9). Il sied d'en déduire, comme l'a fait le SMR et après lui l'OAI dans sa décision, que la capacité de travail résiduelle du recourant de 80 % ressortant de l'expertise de la BD.________ pour tenir compte exclusivement de limitations fonctionnelles liées aux crises d'épilepsies, apparaît convaincante. ee) Enfin, le rapport de consultation du 11 avril 2025 du Prof. P.________ et de la Dre E.________ ne se positionne pas sur la capacité de travail résiduelle du recourant dans une activité adaptée, mais renferme uniquement des remarques et propositions sur le traitement thérapeutique. Le contenu de ce dernier rapport n'est pas de nature à rediscuter le bien-fondé des conclusions du rapport d'expertise pluridisciplinaire de la BD.________ du 17 février 2025, qui a pleine valeur probante, et sur lesquelles l'OAI pouvait se fonder pour rendre sa décision. c) Reste à examiner les prestations auxquelles le recourant peut prétendre sur cette base.</w:t>
      </w:r>
    </w:p>
    <w:p>
      <w:r>
        <w:rPr>
          <w:b/>
        </w:rPr>
        <w:t>E. 8</w:t>
      </w:r>
    </w:p>
    <w:p>
      <w:r>
        <w:t>En ce qui concerne le calcul du taux d'invalidité, le recourant ne revient pas sur la méthode utilisée par l’office intimé pour déterminer le degré d’invalidité. Il convient également de relever que l'OAI a, à juste titre, procédé à deux calculs, l'un pour l'année 2020 tenant compte d'un abattement supplémentaire de 5 % en lien avec le fait que le recourant ne peut plus travailler à 100 % et l'autre pour l'année 2024, compte tenu de l'entrée en vigueur du nouvel art. 26bis al. 3 RAI. Les chiffres retenus à titre</w:t>
      </w:r>
    </w:p>
    <w:p>
      <w:r>
        <w:t>- 18 - de revenus avec et sans invalidité ainsi que les calculs des degrés d'invalidité peuvent être confirmés, étant précisé que l'abattement de 5 % retenu dans le calcul concernant l'année 2020 est très favorable au recourant.</w:t>
      </w:r>
    </w:p>
    <w:p>
      <w:r>
        <w:rPr>
          <w:b/>
        </w:rPr>
        <w:t>E. 9</w:t>
      </w:r>
    </w:p>
    <w:p>
      <w:r>
        <w:t>Les pièces au dossier permettent à la Cour de céans de statuer en toute connaissance de cause. Il n'apparaît donc pas nécessaire de compléter l'instruction, comme le requiert le recourant, par la mise en œuvre d'une expertise judiciaire. Il se justifie dès lors de renoncer à une telle mesure d'instruction par appréciation anticipée des preuves (ATF 145 I 167 consid. 4.1 ; 140 I 285 consid. 6.3.1; 130 II 425 consid. 2.1).</w:t>
      </w:r>
    </w:p>
    <w:p>
      <w:r>
        <w:rPr>
          <w:b/>
        </w:rPr>
        <w:t>E. 10</w:t>
      </w:r>
    </w:p>
    <w:p>
      <w:r>
        <w:t>a) En définitive, le recours, mal fondé, doit être rejeté et la décision rendue le 2 juin 2025 par l’intimé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