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ZD25.030346 vom 13. Mai 2026</w:t>
      </w:r>
    </w:p>
    <w:p>
      <w:r>
        <w:t>VD Tribunal cantonal, 2026-05-13, FR</w:t>
      </w:r>
    </w:p>
    <w:p>
      <w:r>
        <w:rPr>
          <w:b/>
        </w:rPr>
        <w:t xml:space="preserve">Quelle: </w:t>
      </w:r>
      <w:r>
        <w:t>https://mcp.opencaselaw.ch/entscheid/vd_gerichte_ZD25.030346</w:t>
      </w:r>
    </w:p>
    <w:p>
      <w:r>
        <w:t>FR: VD_GERICHTE ZD25.030346 du 13 mai 2026</w:t>
      </w:r>
    </w:p>
    <w:p>
      <w:r>
        <w:t>IT: VD_GERICHTE ZD25.030346 del 13 maggio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10J010</w:t>
      </w:r>
    </w:p>
    <w:p>
      <w:r>
        <w:t>- 11 - entière. Ainsi, pour un taux d’invalidité compris entre 50 et 69 %, la quotité de la rente correspond au taux d’invalidité. Pour un taux d’invalidité supérieur ou égal à 70 %, l’assuré a droit à une rente entière. Enfin, les quotités de la rente sont les suivantes lorsque le taux d’invalidité est inférieur à 50 % : Taux d’invalidité Quotité de la rente 49 % 47,5 % 48 % 45 % 47 % 42,5 % 46 % 40 % 45 % 37,5 % 44 % 35 % 43 % 32,5 % 42 % 30 % 41 % 27,5 % 40 % 25 %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Conformément à l’art. 17 al. 1 LPGA, la rente d’invalidité est, d’office ou sur demande, révisée pour l’avenir, à savoir augmentée, réduite ou supprimée, lorsque le taux d’invalidité de l’assuré subit une modification d’au moins 5 points de pourcentage (let. a) ou atteint 100 % (let. b).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10J010</w:t>
      </w:r>
    </w:p>
    <w:p>
      <w:r>
        <w:t>- 12 - office de l’assurance-invalidité alloue, avec effet rétroactif, une rente d’invalidité temporaire ou échelonnée (ATF 145 V 209 consid. 5.3 ; 131 V 164 consid. 2.2 ; 125 V 413 consid. 2d).</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10J010</w:t>
      </w:r>
    </w:p>
    <w:p>
      <w:r>
        <w:t>- 13 -</w:t>
      </w:r>
    </w:p>
    <w:p>
      <w:r>
        <w:rPr>
          <w:b/>
        </w:rPr>
        <w:t>E. 6</w:t>
      </w:r>
    </w:p>
    <w:p>
      <w:r>
        <w:t>En l’espèce, l’intimé, se fondant sur l’expertise pluridisciplinaire du 22 août 2023 et son complément du 3 octobre 2023 établis par H.________, a octroyé une rente entière d’invalidité du 1er janvier au 31 juillet 2023. Le recourant conteste la valeur probante de l’expertise, le caractère exigible de toute activité adaptée et le calcul de son degré d’invalidité. a) Cela étant, il n’y a pas lieu de s’écarter des conclusions de l’expertise pluridisciplinaire réalisée par H.________. Il ressort de cet examen expertal, d’une part, que le recourant, à la suite des troubles survenus au mois d’avril 2019, avait recouvré depuis le mois de mars 2020 une capacité de travail de 70 % dans son activité habituelle et, d’autre part, qu’il ne disposait, à la suite de problèmes au genou qui ont entraîné une incapacité totale de travailler du 1er décembre 2022 au 30 avril 2023, plus que d’une capacité de travail de 70 % à compter du 1er mai 2023 dans une activité adaptée à ses limitations fonctionnelles (activité physiquement légère en position assise avec possibilité de varier la position ; pas de déplacement à pied en terrain irrégulier ; pas de montée et descente d’escaliers de manière répétitive et non-occasionnelle ; pas d’activité professionnelle en position accroupie ou à genoux ; environnement de travail calme avec aménagement ergonomique du poste ; tâches simples et routinières, à moindres contraintes temporelles, à accomplir sous la supervision d’une tierce personne [du moins dans les premiers temps]). aa) Il y a lieu de constater que les experts ont rendu leur rapport sur la base d’une anamnèse détaillée et complète, en tenant compte de l’ensemble de la documentation médicale au dossier, des plaintes exprimées par le recourant ainsi que de ses antécédents. Chacun des experts a personnellement rencontré le recourant et procédé à un examen clinique détaillé. Leurs conclusions, prises sur la base d’une description claire du contexte médical, sont dûment motivées et exemptes de contradiction. Ils ont par ailleurs discuté en détails les diagnostics retenus et leurs effets sur la capacité de travail du recourant, d’abord dans leur discipline respective, puis dans le cadre d’une évaluation consensuelle. Ils ont par ailleurs expliqué les raisons pour lesquelles ils n’avaient pas retenu 10J010</w:t>
      </w:r>
    </w:p>
    <w:p>
      <w:r>
        <w:t>- 14 - certains diagnostics susceptibles d’entrer en considération. Ces conclusions résultent d’une analyse exhaustive et pluridisciplinaire de la situation médicale du recourant qui permet d’apprécier valablement les atteintes à la santé dans leur globalité et leurs répercussions sur la capacité de travail. bb/aaa) Sur le plan de la médecine interne, l’experte L.________, après avoir procédé à l’examen clinique du recourant (status cardiovasculaire, pulmonaire, digestif, neurologique et locomoteur), a renvoyé à l’évaluation consensuelle s’agissant des diagnostics et de l’évaluation de la capacité de travail. bbb) Sur le plan rhumatologique, l’expert O.________ a posé les diagnostics de gonalgies bilatérales (M25.5) avec gonarthrose fémoro- tibiale interne bilatérale (M17.9) (sur arthroscopie du genou gauche pour résection partielle d’une lésion de la corne postérieure du ménisque interne le 10 décembre 2022 et hémi-prothèse interne du genou droit le 23 janvier 2023). Il a indiqué que ces deux interventions n’avaient apporté aucun changement à la symptomatologie douloureuse qui persistait et qui empêchait le recourant de s’accroupir. Selon cet expert, les gonalgies étaient difficilement explicables d’un point de vue médical. La gonarthrose fémoro-tibiale interne était quant à elle peu marquée à l’imagerie et reflétait une évolution naturelle, qui ne guérira pas. D’un point de vue rhumatologique, il n’y avait pas d’élément orientant vers une étiologie infectieuse, inflammatoire, fracturaire, auto-immune ou métabolique toxique. L’hypothèse étio-nociceptive initiale de gonarthrose était infirmée par l’échec de la mise en place de l’hémiprothèse, sachant que ce geste chirurgical, qui avait théoriquement supprimé l’arthrose qui, si elle était à l’origine de l’étiopathologie des plaintes, aurait dû nettement diminuer, ce qui n’était pas le cas. L’expert en a déduit que la capacité de travail du recourant dans son activité habituelle d’ouvrier viticole était définitivement nulle depuis le 12 octobre 2022, tandis qu’elle était totale, sans diminution de rendement, dans une activité adaptée (activité physiquement légère en position assise avec possibilité de varier la position ; pas de déplacement à pied en terrain irrégulier ; pas de montée et descente d’escaliers de manière répétitive et non occasionnelle ; pas d’activité en position 10J010</w:t>
      </w:r>
    </w:p>
    <w:p>
      <w:r>
        <w:t>- 15 - accroupie et à genoux) depuis le 1er mai 2023, soit trois mois après la pose de l’hémiprothèse interne du genou droit. ccc) Sur le plan psychiatrique, l’expert M.________ a posé le diagnostic de trouble anxieux et dépressif mixte, motivé par la présence d’un ensemble de symptômes de la lignée dépressive et anxieuse, d’intensité modérée. L’anamnèse révélait une trajectoire affective, sociale et professionnelle remarquablement stable et satisfaisante jusqu’à l’AVC subi en avril 2019. Le recourant pouvait s’appuyer sur une personnalité stable et structurée. L’environnement social était toutefois restreint, tous les liens familiaux se trouvant au T***. L’intéressé n’avait pas de suivi psychiatrique, tandis que l’aspect modéré des symptômes psychiques et l’absence d’impact sur les activités de la vie quotidienne ne permettaient pas de retenir une indication formelle à un suivi psychiatrique spécifique. L’expert en a déduit que le recourant disposait d’une pleine capacité de travail dans toute activité. ddd) Sur le plan neuropsychologique, l’experte N.________ a indiqué que l’examen réalisé avait mis en évidence un trouble modéré de la mémoire antérograde verbale (capacités de reconnaissance préservées), une dysfonction exécutive pour les composantes d’incitation verbale (modérée à sévère) et non verbale (modérée), un trouble attentionnel non latéralisé modéré à sévère (attention soutenue, vitesse de traitement et attention divisée avec, cliniquement, une fatigue élevée présente d’emblée, une fatigabilité intellectuelle modérée sur la durée du bilan, un ralentissement psychomoteur modéré à sévère (augmenté sous l’effet de la fatigue), et des performances limites en accès lexical, mémoire prospective et alerte. Comparativement aux précédents examens neuropsychologiques réalisés en 2019, l’experte a noté, sur le plan anamnestique et clinique, d’une part, la persistance des plaintes anamnestiques relatives aux sphères physiques et cognitives, de signes de la lignée anxio-dépressive et d’une fatigabilité intellectuelle modérée sur la durée du bilan et d’un ralentissement psychomoteur modéré à sévère observés cliniquement, d’autre part, l’apparition d’une fatigue élevée présente d’emblée. Sur le plan des performances aux tests standardisés et 10J010</w:t>
      </w:r>
    </w:p>
    <w:p>
      <w:r>
        <w:t>- 16 - pour des épreuves non strictement comparables, elle a observé, globalement, une stabilité du tableau. En définitive, l’experte a considéré que le recourant présentait un trouble neuropsychologiques léger à moyen. Elle en a conclu que la capacité de travail du recourant était significativement diminuée dans son activité habituelle, compte tenu des troubles mnésiques, exécutifs et attentionnels, du niveau élevé d’exigences en lien avec cette activité et de l’influence réciproque de la fatigue mentale et physique sur les performances. Dans une activité adaptée aux limitations physiques et intellectuelles, une capacité de travail comprise entre 50 % et 70 % était retenue, à implémenter de manière progressive par paliers, en répartissant les heures de travail sur la semaine, en privilégiant un environnement calme avec aménagement ergonomique de son poste ainsi que l’exercice de tâches simples/routinières à moindre contrainte temporelle, à accomplir sous la supervision d’une tierce personne (du moins dans un premier temps). eee) Enfin, sur le plan neurologique, l’expert I.________ a retenu le diagnostic de status après AVC ischémique punctiforme pariétal et occipital gauche, survenu le 27 avril 2019, asymptomatique. Au status neurologique, il existait une anesthésie, une analgésie et une disparition des modalités sensitives profondes de l’hémicorps gauche. Il n’y avait toutefois aucun élément objectif qui pouvait confirmer le caractère organique des troubles sensitifs majeurs, en particulier de lésions traumatiques sur le côté gauche, de mouvement dyskinétique ou de maladresse. Les lésions consécutives à l’AVC d’avril 2019, de petites tailles, punctiformes et vraisemblablement non symptomatiques, ne permettaient pas d’expliquer d’éventuels troubles cognitifs. Quant aux céphalées, elles étaient survenues dans un contexte de trouble fonctionnel et ne correspondaient pas à une céphalée primaire connue, raison pour laquelle il s’agissait plutôt de céphalées psychogènes. Constatant qu’il n’y avait pas de limitation fonctionnelle objectivable, en l’absence de socle organique sur le plan neurologique, l’expert a estimé que la capacité de travail du recourant était entière dans toute activité. 10J010</w:t>
      </w:r>
    </w:p>
    <w:p>
      <w:r>
        <w:t>- 17 - b) Le dossier ne contient aucun document médical qui remettrait en question les conclusions de cette expertise. Au contraire, les suggestions de reprise progressive du travail à compter du mois de septembre 2019 se recoupent pour l’essentiel avec celles retenues par la Prof. C.________ (cf. son rapport du 20 janvier 2021) et les Drs K.________ et X.________ (cf. leur rapport du 25 mai 2021). Par ailleurs, les difficultés évoquées dans le rapport de la Fondation S.________ du 23 septembre 2024 n’ont pas à être prises en compte, celles-ci n’étant étayées par aucun document médical. c) Dans ces circonstances, la mise en œuvre d’une expertise judiciaire ne se justifie pas.</w:t>
      </w:r>
    </w:p>
    <w:p>
      <w:r>
        <w:rPr>
          <w:b/>
        </w:rPr>
        <w:t>E. 7</w:t>
      </w:r>
    </w:p>
    <w:p>
      <w:r>
        <w:t>a) Sur le plan de l’exigibilité, il y a lieu de constater que les limitations fonctionnelles mises en évidence par le corps médical ne présentent pas de spécificités telles qu'elles rendraient illusoires l’exercice d’une activité professionnelle. Le marché du travail offre en effet un large éventail d’activités légères, dont on doit convenir qu'un certain nombre sont adaptées aux limitations du recourant et accessibles sans aucune formation particulière. A cet égard, le recourant n’établit pas de manière convaincante en quoi des activités simples et légères, telle que l’activité d’opérateur de production dans l’industrie légère décrite dans le rapport de la Fondation S.________ du 23 septembre 2024, ou celles ressortant au domaine industriel léger (par exemple montage, contrôle ou surveillance d’un processus de production, ouvrier à l’établi dans des activités simples et légères, ouvrier dans le conditionnement léger, surveillant de parking, aide-administratif (réception, scannage et autres) ou vente simple (shop et autres), évoquées par le service de réadaptation de l’intimé (cf. rapport final du 16 octobre 2024), ne seraient pas exigibles au regard des limitations retenues. b) Sur le plan personnel et professionnel, la mise en valeur de la capacité résiduelle de travail du recourant dans une activité adaptée apparaît également exigible. Âgé de 60 ans à la date de la décision litigieuse, il n’a pas encore atteint l’âge à partir duquel la jurisprudence considère généralement qu’il n'existe plus de possibilité réaliste de mise en 10J010</w:t>
      </w:r>
    </w:p>
    <w:p>
      <w:r>
        <w:t>- 18 - valeur de la capacité résiduelle de travail sur un marché du travail supposé équilibré (ATF 138 V 457 consid. 3.1 p. 459 ; voir également TF 9C_918/2008 du 28 mai 2009 consid. 4.2.2).</w:t>
      </w:r>
    </w:p>
    <w:p>
      <w:r>
        <w:rPr>
          <w:b/>
        </w:rPr>
        <w:t>E. 8</w:t>
      </w:r>
    </w:p>
    <w:p>
      <w:r>
        <w:t>Cela étant constaté, il convient de déterminer le degré d’invalidité que le recourant présente. a) A titre liminaire, il sied de constater que le recourant ne saurait prétendre à une rente d’invalidité avant la survenance de son incapacité totale de travailler en raison de ses problèmes aux genoux, dès lors qu’il a été admis sur le plan médical qu’il pouvait travailler à compter du mois de mars 2020 à 70 % dans son activité habituelle, taux d’activité excluant tout droit à une rente éventuelle. b) Il convient ensuite de relever que c’est à bon droit que l’office intimé a retenu que c’était au 22 janvier 2023 que le recourant avait présenté une incapacité de travail moyenne de 40 % sans interruption notable. L’année déterminante pour procéder à la comparaison des revenus est par conséquent 2023. c) Il n’est pas contesté que le recourant peut prétendre à une rente entière d’invalidité du 1er janvier au 31 juillet 2023. Il reste à déterminer le degré d’invalidité présenté par le recourant pour la période postérieure. aa) S’agissant du revenu sans invalidité, il n’y a pas lieu de s’écarter de l’attestation remplie par l’employeur le 28 octobre 2019, selon laquelle le recourant aurait obtenu un salaire annuel de 68'209 fr. en 2019. Après adaptation de ce montant à l’évolution des salaires (+ 0,8 % en 2020 ; - 0,7 % en 2021 ; + 1,1 % en 2022 ; + 1,7 % en 2023), on obtient un revenu sans invalidité de 70'197 fr. 80. bb) S’agissant du revenu d’invalide, c’est à juste titre que l’office intimé s’est référé aux salaires bruts standardisés (valeur centrale) dans l’économie privée tous secteurs confondus. Le salaire de référence à 10J010</w:t>
      </w:r>
    </w:p>
    <w:p>
      <w:r>
        <w:t>- 19 - prendre en compte est donc de 5'305 fr. (ESS 2022, tableau TA1_skill_level, total hommes, niveau de compétence 1). Après adaptation de ce montant à la durée normal du travail en 2023 (soit 41,7 heures) et à l’indice des salaires nominaux (+ 1,7 % en 2023), on obtient un revenu annuel de 47'245 fr. 65 pour une activité exercée à 70 %. cc) Quant à la question de l’abattement, s’il convient effectivement de procéder à un abattement sur le salaire statistique pris en compte pour fixer le revenu d’invalide, l’étendue de l’abattement opéré par l’office intimé (10 %) ne tient pas compte de manière appropriée de l’ensemble des circonstances du cas d’espèce. Si c'est à juste titre qu’il n’est pas tenu compte des limitations fonctionnelles présentées par le recourant, dès lors que l'évaluation de la capacité résiduelle de travail inclut déjà cet élément, il convient en revanche de prendre en considération les effets que l’âge du recourant (60 ans) et son absence prolongée du marché du travail, ainsi que la perte des avantages liés à l’ancienneté au service de son ancien employeur (14 ans) pourraient jouer concrètement sur ses perspectives salariales dans le cadre de l'exercice d'une activité simple, légère et ne nécessitant pas de formation particulière. L'ensemble de ces facteurs mène à la conclusion que l'office intimé a, en retenant un abattement de 10 %, sous-estimé les circonstances pouvant influer sur le revenu d'une activité lucrative dans une mesure qui excède le large pouvoir d'appréciation dont il disposait. Une déduction globale de 15 % tient en l'occurrence mieux compte des circonstances pertinentes du cas d'espèce. Le revenu d'invalide déterminant s'élève par conséquent à 40'158 fr. 80 par année. dd) Ainsi, compte tenu d’un revenu sans invalidité de 70'197 fr. 80 et d’un revenu avec invalidité de 40'158 fr. 80, le degré d’invalidité du recourant s’élève à 43 %, si bien qu’il peut prétendre à une rente d’invalidité de 32,5 %. d) Pour le reste, il n’y a pas lieu de procéder à une seconde comparaison des revenus afin de tenir compte de l’art. 26bis RAI dans sa teneur en vigueur depuis le 1er janvier 2024, dès lors qu’une révision au 10J010</w:t>
      </w:r>
    </w:p>
    <w:p>
      <w:r>
        <w:t>- 20 - 1er janvier 2024 ne doit pas être effectuée si celle-ci doit conduire à une diminution – voire une suppression – de la rente (cf. lettre circulaire AI n° 432 du 9 novembre 2023, ch. 2 et 4a). e) En définitive, le recourant peut ainsi prétendre à une rente entière d’invalidité du 1er janvier au 31 juillet 2023, puis à une rente de 32,5 % à compter du 1er août 2023.</w:t>
      </w:r>
    </w:p>
    <w:p>
      <w:r>
        <w:rPr>
          <w:b/>
        </w:rPr>
        <w:t>E. 9</w:t>
      </w:r>
    </w:p>
    <w:p>
      <w:r>
        <w:t>Enfin, force est de constater que le recourant ne saurait prétendre, sous réserve d’une mesure d’aide au placement, à des mesures d’ordre professionnel, dès lors que celles-ci ne permettraient, au vu des circonstances concrètes du cas d’espèce, pas de rétablir, maintenir ou améliorer sa capacité de gain en raison de son invalidité (art. 8 al. 1 let. a LAI ; TF 9C_184/2025 du 7 août 2025 consid. 2.2).</w:t>
      </w:r>
    </w:p>
    <w:p>
      <w:r>
        <w:rPr>
          <w:b/>
        </w:rPr>
        <w:t>E. 10</w:t>
      </w:r>
    </w:p>
    <w:p>
      <w:r>
        <w:t>a) Sur le vu de ce qui précède, le recours doit être admis. La décision rendue le 26 mai 2025 par l’intimé est réformée, en ce sens que le recourant peut prétendre à une rente entière d’invalidité du 1er janvier 2023 au 31 juillet 2023, puis à une rente d’invalidité de 32,5 % à compter du 1er août 2023.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 10J010</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