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ZD25.029272 vom 21. Juli 2025</w:t>
      </w:r>
    </w:p>
    <w:p>
      <w:r>
        <w:t>VD Tribunal cantonal, 2025-07-21, FR</w:t>
      </w:r>
    </w:p>
    <w:p>
      <w:r>
        <w:rPr>
          <w:b/>
        </w:rPr>
        <w:t xml:space="preserve">Quelle: </w:t>
      </w:r>
      <w:r>
        <w:t>https://mcp.opencaselaw.ch/entscheid/vd_gerichte_ZD25.029272</w:t>
      </w:r>
    </w:p>
    <w:p>
      <w:r>
        <w:t>FR: VD_GERICHTE ZD25.029272 du 21 juillet 2025</w:t>
      </w:r>
    </w:p>
    <w:p>
      <w:r>
        <w:t>IT: VD_GERICHTE ZD25.029272 del 21 luglio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w:t>
      </w:r>
    </w:p>
    <w:p>
      <w:r>
        <w:t>- 8 - c)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w:t>
      </w:r>
    </w:p>
    <w:p>
      <w:r>
        <w:t>- 9 - ressources de la personne assurée, de même que le critère de la résistance à un traitement conduit dans les règles de l’art (ATF 141 V 281 consid. 4.3 et 4.4).</w:t>
      </w:r>
    </w:p>
    <w:p>
      <w:r>
        <w:rPr>
          <w:b/>
        </w:rPr>
        <w:t>E. 5</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 TF 9C_789/2012 du 27 juillet 2013 consid. 2.2).</w:t>
      </w:r>
    </w:p>
    <w:p>
      <w:r>
        <w:t>- 10 -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Cette limitation du pouvoir d’examen du juge ne s’applique toutefois pas si l’administration a omis d’impartir un délai à la personne assurée pour produire les pièces pertinentes auxquelles il s’était référé dans sa demande (ATF 130 V 64 consid. 5.2.5 et 6). d)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w:t>
      </w:r>
    </w:p>
    <w:p>
      <w:r>
        <w:rPr>
          <w:b/>
        </w:rPr>
        <w:t>E. 6</w:t>
      </w:r>
    </w:p>
    <w:p>
      <w:r>
        <w:t>a) En l’occurrence, selon l’intitulé de la décision entreprise, l’office intimé ne serait pas entré en matière sur la nouvelle demande. Il faudrait donc se limiter à examiner si la recourante, dans ses démarches auprès de l’office intimé jusqu’à la décision objet de la présente procédure, a établi de façon plausible que son invalidité s’était modifiée, en comparant les faits tels qu’ils se présentaient au moment de la décision de refus d’entrer en matière du 23 mai 2025 et les circonstances prévalant à l’époque de la décision du 26 janvier 2021. b) La situation ayant donné lieu à la décision de 2021 et sur laquelle les investigations avaient porté était une contusion au poignet gauche et un kyste qui avait été opéré. A l’époque, l’instruction n’avait mis en évidence aucune atteinte durablement incapacitante au niveau du poignet, ce qui avait justifié le refus de prestation. c) Dans le cas présent, la recourante se plaint essentiellement de lombalgies, soit des atteintes différentes de celles investiguées en 2021. Les atteintes dégénératives alléguées ont été établies et objectivées par plusieurs imageries et les diagnostics ont été dûment posés par les médecins sur la base de ces pièces. La question qui reste à élucider est donc la répercussion de ces atteintes sur la capacité de travail, laquelle ne saurait être écartée d’emblée s’agissant d’une assurée qui travaillait comme agent d’entretien. L’impact de ces atteintes dégénératives sur la capacité de travail de la recourante n’avait pas été instruite lors de la première demande de 2021 qui concernait uniquement des atteintes au poignet. Il s’ensuit qu’au vu des pièces médicales produites, l’intimé était tenu d’entrer en matière sur la nouvelle demande, ce qu’il a d’ailleurs fait. En effet, il a interpellé la recourante à plusieurs reprises pour qu’elle produise des pièces médicales complémentaires. Le compte rendu de la permanence G.________ du 6 juin 2024 a suggéré d’entrer en matière et des mesures d’instruction qui ont été réalisées. Le 21 janvier 2025, la permanence G.________ a sollicité de nouvelles mesures d’instruction auxquelles l’OAI a donné suite. Puis dans son avis du 21 mai 2025, le G.________ a analysé le résultat de l’instruction avant d’en déduire que la</w:t>
      </w:r>
    </w:p>
    <w:p>
      <w:r>
        <w:t>- 12 - recourante ne souffrait pas d’atteintes entrainant des limitations fonctionnelles durablement incapacitantes, en faisant exclusion des facteurs extra médicaux, ce qui relève d’un examen de fond. Quant à la décision du 23 mai 2025, si elle indique de manière erronée un refus d’entrer en matière, la prise de position de l’intimé qui y est annexée explique les motifs pour lesquels le droit à la rente a été nié en précisant que la décision reposait sur une instruction complète sur le plan médical et économique. Il résulte de ce qui précède que l’intimé est bien entré en matière sur la nouvelle demande, qu’il a instruite et sur laquelle il a statué sur le fond. C’est également dans ce sens que la recourante a compris la décision dès lors qu’elle a pris des conclusions tendant à l’octroi d’une rente, subsidiairement à la mise en œuvre de mesures d’instructions complémentaires, et a produit des pièces nouvelles. A noter que ses conclusions seraient irrecevables si l’on considérait que la décision attaquée constituait une non entrée en matière. Par conséquent, la Cour de céans jouit d’un plein pouvoir d’examen et peut prendre en compte les pièces déposées avec le recours dans la mesure où elles traitent de faits antérieurs à la décision.</w:t>
      </w:r>
    </w:p>
    <w:p>
      <w:r>
        <w:rPr>
          <w:b/>
        </w:rPr>
        <w:t>E. 7</w:t>
      </w:r>
    </w:p>
    <w:p>
      <w:r>
        <w:t>Sur le plan médical, il convient de retenir, comme l’a relevé le G.________, que l’examen clinique réalisé par le médecin spécialiste Q.________ n’a pas révélé de difficultés fonctionnelles. La recourante présentait une marche sans boiterie sur la pointe des pieds et les talons sans difficulté, elle n’avait pas de déficit moteur ni sensitif et la mobilisation des hanches et des genoux se faisait sans douleur. A la radiographie, on ne trouvait pas de trouble statique. Le scanner montrait la présence d’une lyse isthmique unilatérale en L5 sans listhésis, ni tassement vertébral, et sans lésion ostéolytique ni ostéocondensante ; des discopathies dégénératives étaient observées en L4-L5 et L5-S1 avec en L4-L5 une petite protrusion discale postérieure médiane et un débord discal foraminal gauche qui venait au contact de la racine L4 gauche et l’émergente L5 gauche, puis un débord discal global circonférentiel en L5-</w:t>
      </w:r>
    </w:p>
    <w:p>
      <w:r>
        <w:t>- 13 - S1 venant au contact des deux émergentes S1 et refoulait la racine L5 gauche dans le foramen. L’IRM a confirmé la présence de troubles dégénératifs très débutants surtout en L4-L5/L5-S1 qui étaient tout à fait compatibles avec l’âge de la recourante ; il n’y avait pas de contrainte sur les racines, la petite hernie discale en L4-L5 et le débord discal en L5-S1 étaient non conflictuels, la lyse isthmique était non active sans signe d’inflammation, de même que la sclérose débutante de l’articulation sacro-iliaque inférieure droite. Après l’analyse des imageries et son examen clinique, le Dr Q.________ n’a pas retenu de prise en charge chirurgicale, ajoutant qu’il n’y avait pas de contraintes qui pouvaient expliquer les douleurs dans les membres inférieurs. La suggestion de consulter un spécialiste en médecine interne n’a pas été suivie par la recourante. En définitive, l’origine et l’intensité des douleurs n’ont pas été objectivées par des éléments médicaux. Les limitations fonctionnelles énoncées de manière très large par le Dr V.________ ne sont pas étayées par des arguments objectifs, étant précisé qu’elles ne correspondent pas à la gravité très légère des troubles et n’ont pas été confirmées lors de l’examen clinique du médecin spécialiste. Sur le plan psychiatrique, la recourante ne bénéficie d’aucun suivi spécialisé. Le diagnostic évoqué par le médecin traitant, qui n’est pas un spécialiste en psychiatrie, n’est pas du tout étayé et l’impact sur les ressources n’est pas analysé. On ne peut ainsi que constater l’absence de diagnostic posé dans les règles de l’art dans ce domaine et d’éléments permettant de déterminer d’éventuelles répercussions d’une atteinte psychiatrique sur la capacité de travail et sur les différents domaines de la vie de la recourante. Quant à l’incapacité de travail attestée principalement par le Dr V.________, elle n’est pas davantage étayée et repose essentiellement sur les déclarations de la patiente, ce qui est insuffisant. Au demeurant, il a indiqué que la capacité de travail pouvait évoluer en cas de prise en charge suivie par la recourante, qui n’était en l’état pas optimale. Cela étant, le médecin traitant a attesté d’une capacité de travail entière dans le secteur administratif sans indiquer pour quels motifs la recourante ne</w:t>
      </w:r>
    </w:p>
    <w:p>
      <w:r>
        <w:t>- 14 - pourrait pas réaliser une autre activité moins physique (sans port de charges importantes). Ainsi, la recourante présente des troubles dégénératifs légers, compatibles avec son âge, et ne rend pas vraisemblable leur effet invalidant dès lors que les répercussions cliniques ne montrent pas d’effets significatifs. En outre, ses médecins relèvent qu’elle ne suit pas de traitement adapté qui pourrait améliorer la symptomatologie, ce qui est exigible. Par surabondance, même en retenant des limitations fonctionnelles sur le plan physique, la recourante serait à tout le moins capable d’exercer une activité avec une légère épargne du rachis à plein temps, de sorte qu’une éventuelle perte de gain serait inconséquente du point de vue de la LAI. La recourante invoque en outre sa situation sociale, dès lors que son autorisation de séjour a été révoquée à la suite de la perte de son emploi. Or ces éléments, en particulier son statut du point de vue du droit des étrangers, ne sont pas pertinents dans l’examen de la capacité de travail en AI. En définitive, les rapports médicaux au dossier ne rendent pas vraisemblables une aggravation de l’état de santé de la recourante depuis la dernière décision. C’est donc à bon droit que l’intimé a nié le droit à des prestations AI.</w:t>
      </w:r>
    </w:p>
    <w:p>
      <w:r>
        <w:rPr>
          <w:b/>
        </w:rPr>
        <w:t>E. 8</w:t>
      </w:r>
    </w:p>
    <w:p>
      <w:r>
        <w:t>Vu ce qui précède, l’instruction apparaît suffisante, les éléments au dossier permettant à la Cour de céans de statuer en pleine connaissance de cause. Il n’y a pas lieu d’ordonner de mesures d’instruction complémentaires. En conséquence, la réquisition de mise en œuvre d’une expertise n’apparait pas de nature à apporter un éclairage différent des éléments retenus ci-dessus et peut dès lors être écartée par appréciation anticipée des preuves (ATF 145 I 167 consid. 4.1 ; 144 II 427 consid. 3.1.3 ; 140 I 285 consid. 6.3.1).</w:t>
      </w:r>
    </w:p>
    <w:p>
      <w:r>
        <w:t>- 15 -</w:t>
      </w:r>
    </w:p>
    <w:p>
      <w:r>
        <w:rPr>
          <w:b/>
        </w:rPr>
        <w:t>E. 9</w:t>
      </w:r>
    </w:p>
    <w:p>
      <w:r>
        <w:t>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En l’occurrence, le recours est manifestement mal fondé. En effet, les pièces produites à l’appui de la nouvelle demande ne permettent pas même de constater l’existence d’une atteinte invalidante. Ainsi, le recours doit être rejeté en application de l’art. 82 LPA-VD et la décision attaquée confirmée, sans autre échange d’écriture. b)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caractère manifestement mal fondé du présent recours et son défaut prévisible de chance de succès commandent le rejet de la requête d’assistance judiciaire (art. 61 let. f LPGA), indépendamment de la situation financière dans laquelle se trouve la recourante. c) La procédure de recours en matière de contestations portant sur l’octroi ou le refus de prestations de l’assurance-invalidité est soumise à des frais de justice (art. 69 al. 1bis LAI). Les frais, par 600 fr., sont mis à la charge de la partie recourante qui succombe. d)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