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ZD25.028594 vom 5. Februar 2026</w:t>
      </w:r>
    </w:p>
    <w:p>
      <w:r>
        <w:t>VD Tribunal cantonal, 2026-02-05, FR</w:t>
      </w:r>
    </w:p>
    <w:p>
      <w:r>
        <w:rPr>
          <w:b/>
        </w:rPr>
        <w:t xml:space="preserve">Quelle: </w:t>
      </w:r>
      <w:r>
        <w:t>https://mcp.opencaselaw.ch/entscheid/vd_gerichte_ZD25.028594</w:t>
      </w:r>
    </w:p>
    <w:p>
      <w:r>
        <w:t>FR: VD_GERICHTE ZD25.028594 du 5 février 2026</w:t>
      </w:r>
    </w:p>
    <w:p>
      <w:r>
        <w:t>IT: VD_GERICHTE ZD25.028594 del 5 febbraio 2026</w:t>
      </w:r>
    </w:p>
    <w:p>
      <w:pPr>
        <w:pStyle w:val="Heading2"/>
      </w:pPr>
      <w:r>
        <w:t>Erwägungen</w:t>
      </w:r>
    </w:p>
    <w:p>
      <w:r>
        <w:rPr>
          <w:b/>
        </w:rPr>
        <w:t>E. 3</w:t>
      </w:r>
    </w:p>
    <w:p>
      <w:r>
        <w:t>Le litige porte sur le droit de la recourante à des prestations de l’assurance-invalidité à la suite de sa nouvelle demande du 27 septembre 2021.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10J010</w:t>
      </w:r>
    </w:p>
    <w:p>
      <w:r>
        <w:t>- 18 -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10J010</w:t>
      </w:r>
    </w:p>
    <w:p>
      <w:r>
        <w:t>- 19 -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10J010</w:t>
      </w:r>
    </w:p>
    <w:p>
      <w:r>
        <w:t>- 20 -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Cela vaut également lorsqu’un ou plusieurs médecins ont émis une opinion divergeant de celle de l’expert (TF 9C_268/2011 du 26 juillet 2011 consid. 6.1.2 et les références citées).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10J010</w:t>
      </w:r>
    </w:p>
    <w:p>
      <w:r>
        <w:t>- 21 -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En l’occurrence, il y a lieu d’examiner si l’état de santé de la recourante s’est péjoré dans une mesure susceptible de modifier l’exigibilité de l’exercice d’une activité lucrative depuis la précédente décision au fond reposant sur un examen matériel du droit à la rente, à savoir celle rendue par l’intimé le 8 décembre 2015. a) Dans la décision du 8 décembre 2015, l’intimé avait pris en compte les conclusions de l’examen clinique rhumatologique du SMR effectué le 17 juin 2015 qui retenait avec effet sur la capacité de travail, sur le plan somatique, des gonalgies gauches chroniques dans le contexte d’une gonarthrose tricompartimentale, prédominant au niveau fémoro-tibial interne et fémoro-rotulien, un status après transposition de la tubérosité tibiale en 1984, une arthroscopie en octobre 2009 avec résection et égalisation de la corne postérieure du ménisque interne, une ablation des franges et égalisation du bord libre du ménisque, une chondrocalcinose (M17.5) ainsi que des cervico-dorsolombalgies sur troubles statiques et dégénératifs (M54.2, M54.4). Les limitations fonctionnelles étaient les activités sédentaires ou semi-sédentaires, principalement en position assise, en autorisant les changements de position au moins deux fois par heure ou au gré de l’intéressée, éviter les ports de charges lourdes supérieures à 5 kg, éviter les positions du tronc tenues en porte-à-faux, éviter les activités nécessitant une flexion-rotation répétée du tronc, éviter les activités avec les bras au-dessus de l’horizontale, activités en milieu tempéré à l’intérieur, activités sans déplacement en terrain irrégulier, sans 10J010</w:t>
      </w:r>
    </w:p>
    <w:p>
      <w:r>
        <w:t>- 22 - travail en hauteur ou sur échelle, sans travail à genoux et/ou en station accroupie, activités en milieu tempéré. Aucune atteinte à la santé psychique n’avait alors été prise en compte, si ce n’était une légère phobie sociale attestée par la Dre E.________ dans son rapport transmis à l’OAI le 12 février 2014. Une capacité de travail entière était exigible dès janvier 2010 dans une activité adaptée. b) Dans le cadre de l’instruction de la nouvelle demande, l’OAI a mis en œuvre une expertise pluridisciplinaire, à laquelle il a reconnu une pleine valeur probante, retenant sur cette base une pleine capacité de travail dans une activité adaptée aux limitations fonctionnelles (activités sédentaires ou semi-sédentaires, principalement en position assise, en autorisant les changement de position, pas d’efforts de soulèvement à partir du sol au-delà de 5 kg, port de charge proche du corps limité à 5 kg, éviter les porte-à-faux du buste et les rotations répétées du buste, pas de position à genoux et accroupie, pas de montée et de descente d’escaliers répétées, pas de travail en hauteur, sur une échelle, un escabeau, un échafaudage ou un tabouret, pas de mouvement de préhension et de pronosupination forcée de la main gauche, activité sans critique majeure, avec un cahier des charges précis, dans un endroit qui ne doit pas être clos, sans présence de trop de monde). c) Sur le plan formel, le rapport d’expertise du 16 janvier 2025 satisfait aux réquisits auxquels la jurisprudence soumet la valeur probante d’un tel document. En effet, les experts ont tous individuellement rencontré la recourante et rédigé un rapport détaillé, puis confronté leurs conclusions au cours d’une conférence qui a fait l’objet d’un rapport de synthèse dans lequel ils ont consensuellement évalué l’état de santé, la capacité de travail et les limitations fonctionnelles de l’intéressée. De surcroît, les experts ont fondé leur appréciation sur le dossier médical de la recourante, lequel a été intégralement examiné, et ont procédé à une anamnèse familiale, personnelle et professionnelle, ainsi qu’à une analyse du contexte psychosocial dans lequel l’assurée évoluait. Ils se sont encore renseignés sur ses habitudes, sa vie quotidienne, ses loisirs et son emploi du temps. Ils ont en particulier fait état de manière circonstanciée de ses plaintes et les 10J010</w:t>
      </w:r>
    </w:p>
    <w:p>
      <w:r>
        <w:t>- 23 - ont prises en compte dans leur appréciation. Leur rapport est complet, structuré et clair. d) Sur le plan somatique, la recourante a été examinée par les Drs BC.________ et BD.________. Ceux-ci ont eu accès à l’ensemble des pièces versées au dossier de la cause (p. 57 ss), parmi lesquelles figuraient en particulier les rapports des médecins traitants et des autres spécialistes consultés par la recourante depuis le dépôt de sa première demande de prestations en 2013. Ils ont chacun établi un rapport portant sur leur spécialité respective comprenant, d’une part, les anamnèses sur la base de leurs entretiens avec la recourante, incluant son parcours de vie, ses plaintes, ses antécédents médicaux ainsi que sa journée-type et, d’autre part, les observations faites lors de l’examen, les diagnostics et les réponses motivées aux questions soumises par l’intimé. Ces volets de l’expertise remplissent ainsi l’ensemble des réquisits de la jurisprudence en la matière, ce que ne conteste du reste pas la recourante. aa) Sur le plan de la médecine interne, la Dre BC.________ a retenu les diagnostics non-incapacitants de diabète sucré de type II insulino- traité avec complications neurologiques (E11.40), d’hypertension artérielle (I10) et d’obésité stade I (BMI 32,3 kg/m2). L’experte a indiqué qu’en 2022, le diabète de la recourante était décompensé, probablement sur mauvaise compliance au traitement et qu’elle était passée à l’insulinothérapie et qu’en 2023, l’examen neurologique avait révélé une polyneuropathie des membres inférieurs de type sensitif et axonal d’origine probablement diabétique. Grâce au nouveau traitement antidiabétique, l’intéressée avait pu stabiliser sa glycémie et perdre jusqu’à 20 kg, passant d’un BMI de 41 à celui de 33 kg/m2. Le sevrage tabagique réalisé allait également améliorer ses fonctions pulmonaires et l’hypertension artérielle était bien contrôlée. Selon la Dre BC.________, l’expertisée était bien suivie par son médecin traitant et avait pris conscience de la progression de sa maladie pulmonaire pour arrêter sa consommation de tabac. Les troubles rapportés par l’intéressée étaient concordants avec l’examen clinique et il n’y avait pas d’incohérences ou d’informations divergentes dans l’anamnèse et dans le dossier médical. Au rang des ressources, l’experte a indiqué que la 10J010</w:t>
      </w:r>
    </w:p>
    <w:p>
      <w:r>
        <w:t>- 24 - recourante avait été bien formée dans les activités administratives et qu’elle avait développé des ressources adaptatives en évoluant au sein de différents postes. Elle était soutenue par sa mère et son frère et savait se rendre utile en assumant des tâches peu rémunérées. La Dre BC.________ a retenu, au rang des facteurs de surcharge, une précarité financière, une obstination à se déclarer incapable de travailler autrement que quasi bénévolement. Elle en a conclu que, sur le plan de la médecine interne, l’assurée était en totale capacité de travail dans l’activité habituelle d’employée de bureau ainsi que dans une activité adaptée à ses limitations fonctionnelles. bb) Sur le plan rhumatologique, le Dr BD.________ a posé les diagnostics de douleurs cervicales sur discopathies (M54.2), de douleurs lombaires sur discopathies avec canal lombaire rétréci (M54.5 et M48.0), de chondropathie tri-compartimentale du genou gauche (M17.9), de status après entorse de cheville gauche (S93.4), de status avec flessum de l’articulation interphalangienne proximale du 4ème doigt de la main gauche (S62.7) et de fibromyalgie (M79.9). L’expert a retenu comme limitations fonctionnelles les activités sédentaires ou semi-sédentaires, principalement en position assise, en autorisant les changements de position, pas d’efforts de soulèvement à partir du sol au-delà de 5 kg, le port de charge proche du corps limité à 5 kg, éviter les porte-à-faux du buste et les rotations répétées du buste, pas de position à genoux et accroupie, pas de montée et de descente d’escaliers répétées, pas de travail en hauteur (échelle, escabeau, échafaudage, tabouret), pas de mouvement de préhension et de pronosupination forcée de la main gauche. Le Dr BD.________ a estimé que la recourante présentait une capacité de travail de 70 % dans l’activité d’employée de bureau exercée en dernier lieu, qui n’était pas totalement adaptée. En revanche, avec une adaptation du poste de travail, la capacité de travail s’élevait à 100 %, ceci depuis janvier 2010. Dans une activité adaptée, la capacité de travail était de 100 % depuis toujours, la fibromyalgie n’ayant pas d’impact sur la vie quotidienne. e) aa) Sur le plan psychiatrique, le Dr U.________ a retenu les diagnostics de trouble mixte de la personnalité, traits de personnalité 10J010</w:t>
      </w:r>
    </w:p>
    <w:p>
      <w:r>
        <w:t>- 25 - évitante et anankastique (F61.0), d’agoraphobie, sans trouble panique (F40.00), de trouble anxieux, phobique, sans précision (F40.9) et de phobie spécifique, claustrophobie (F40.2). L’expert a indiqué que la recourante avait évoqué une angoisse pour tout, caractérisée par une intolérance aux lieux clos et à la présence de trop de monde, se manifestant notamment par des sueurs, un stress intense et un sentiment de panique dans les salles d’attente ou en présence de nombreuses personnes. Elle a indiqué limiter ses déplacements à des environnements connus, en particulier à deux commerces situés dans son village, et éviter les lieux inconnus. Elle a rapporté une désorientation dans les espaces non familiers, ainsi qu’une crainte marquée de ne pas retrouver sa voiture. Elle a également mentionné des troubles de l’attention et de la mémoire se traduisant par des pertes fréquentes d’objets, notamment de clés. Elle bénéficiait d’un suivi psychiatrique et d’un soutien limité de son entourage. Lors de sa venue au centre d’expertise, l’intéressée avait décrit un épisode d’angoisse aiguë à la sortie du parking entraînant une incontinence urinaire. Elle s’était plainte de ses atteintes sur le plan somatique et avait indiqué que tant les douleurs physiques que l’anxiété s’étaient aggravées avec le temps. Or dans ses rapports du 15 novembre 2021 et 6 avril 2022 notamment, la Dre I.________ avait fait part de plaintes similaires, soit des difficultés dans les domaines de la vie quotidienne (rencontre avec de nouvelles personnes, courses) et de la vie relationnelle et sociale (tâches administratives nécessitant des contacts avec des tiers), agitation et sentiment d’être à bout, anticipations négatives de tout événement sortant de la routine de la patiente, troubles de la concentration, fatigabilité augmentée, troubles gastro-intestinaux et transpiration, tension musculaire permanente, état d’hypervigilance permanent. Dans son rapport du 17 mars 2025, cette même médecin a admis que ses observations cliniques et celles de l’expert psychiatre se rejoignaient. Elle a précisé que les descriptions quant à l’agoraphobie, le trouble anxieux et la claustrophobie retenus par l’expert faisaient effectivement partie de ce que la recourante manifestait comme symptômes au quotidien et dans ses limitations, mais 10J010</w:t>
      </w:r>
    </w:p>
    <w:p>
      <w:r>
        <w:t>- 26 - qu’elle avait elle-même opté pour le diagnostic d’anxiété généralisée pour rendre compte d’une anticipation constante de malheur, associée à des difficultés de concentration, une tension motrice et des troubles neurovégétatifs dans tous les domaines de sa vie. L’expert U.________ a par ailleurs observé que l’entretien avait été agréable et les réponses détaillées. Il n’y avait pas eu d’agressivité, ni d’irritabilité, ni d’opposition à l’entretien. La recourante était orientée dans le temps et l’espace. La tristesse était visible, légère, sans pleurs et sans ralentissement psychomoteur. Il existait une labilité émotionnelle très légère. Le Dr U.________ ressentait chez l’intéressée une fatigue et une fatigabilité légères et surtout un envahissement du champ de pensée par une crainte de ne pas être organisée. La fluidité idéique n’était pas ralentie. Il n’y avait pas d’excitation, ni d’euphorie inadéquate. Il y avait toutefois une légère baisse de l’élan vital. Ce spécialiste n’a pas retenu d’agitation mais a ressenti une fébrilité et une tension intérieure. L’expertisée ne présentait pas de tremblements, ni de sudation excessive et la tonalité de la voix était identique en cours d’entretien. Il n’y avait pas de changement de couleur de peau ni de rituels de vérification. Par ailleurs, la recourante ne présentait pas de signe d’intoxication éthylique aiguë ou chronique. Finalement, l’expert a noté que l’intéressée n’était pas sujette à des délires, des troubles du cours ou du contenu de la pensée, d’idées délirantes, de syndrome d’automatisme mental, d’attitude d’écoute, de barrage, de passage du coq à l’âne ou de néologismes et qu’elle ne présentait pas d’hallucinations auditives ou visuelles. Sur la base de l’anamnèse et de l’examen clinique, l’expert psychiatre a, premièrement, retenu un trouble mixte de la personnalité, traits de personnalité évitante et anankastique, en raison des citriques quasi constantes que la recourante avait subies de son père et de son échec à obtenir l’assentiment de ce dernier et de sa crainte d’être rejetée et critiquée. Le Dr U.________ a précisé qu’il avait écarté la présence d’un trouble de personnalité anankastique dès lors que l’intéressée ne présentait pas de perfectionnisme susceptible de venir entraver l’achèvement des tâches. Les traits de la personnalité évitante et anankastique étaient 10J010</w:t>
      </w:r>
    </w:p>
    <w:p>
      <w:r>
        <w:t>- 27 - interdépendants et engendraient des difficultés importantes au niveau relationnel et professionnel, avec des fuites, indiquant par ailleurs que ces difficultés existaient depuis de nombreuses années. Ensuite, l’expert a diagnostiqué une agoraphobie, sans trouble de panique, qu’il qualifiait de légère, dès lors que la recourante avait des difficultés à être en présence de trop de monde. La claustrophobie était également de faible intensité. L’expert a retenu également un trouble anxieux et phobique, sans précision, car les crises d’angoisses étaient déclenchées par les situations que la recourante n’anticipait pas, écartant du reste une anxiété généralisée, dans la mesure où il n’existait pas chez l’intéressée d’anxiété flottante ou constante. Cette dernière présentait également des évitements phobiques, notamment d’éviter de se rendre dans des endroits qu’elle ne connaissait pas et d’anticiper tout trajet nouveau. Ce trouble était de faible intensité mais engendrait néanmoins des limitations fonctionnelles. Le Dr U.________ a également posé le diagnostic de trouble dépressif récurrent, épisode actuel léger, sans syndrome somatique se traduisant par une baisse d’intérêt, une perte d’élan vital, une humeur triste, sans idées suicidaires, observant que la recourante avait présenté un épisode dépressif moyen en septembre 2020 qui s’était amélioré en 2021 pour devenir léger. Pour autant, l’expert psychiatre a relevé que la recourante avait des difficultés à travailler avec les autres de peur d’être critiquée. Les changements étaient source d’angoisse et elle évoluait depuis plusieurs années dans un mode de fonctionnement qui s’était rigidifié. Elle avait des difficultés à prendre des décisions, était hésitante et avait des difficultés à dire non. Toutefois, sur le plan des ressources, l’intéressée était capable de planifier et de structurer les tâches. Elle pouvait s’adapter aux règles et aux routines, respectant la procédure, ainsi que la hiérarchie et les convenances sociales. Elle avait le permis de conduire et des amis sur qui elle pouvait compter. Elle avait également un diplôme spécifique et parlait plusieurs langues. Le Dr U.________ ne retenait pas d’incohérences, ni d’exagération de la symptomatologie. Il n’y avait pas de refus de traitement mais celui-ci devait être adapté en augmentant la posologie du traitement 10J010</w:t>
      </w:r>
    </w:p>
    <w:p>
      <w:r>
        <w:t>- 28 - en cours, en l’associant à un traitement antidépresseur et en augmentant le rythme du suivi psychothérapeutique avec un travail cognitivo- compartimental. Il y avait uniformité entre les plaintes alléguées, notamment celles concernant l’anxiété et les difficultés rencontrées dans tous les domaines de la vie. Le médecin a ajouté que l’expertisée s’était restreinte dans un mode de fonctionnement dans lequel elle n’avait pas le sentiment d’être en présence d’éléments anxiogènes. Au final, l’expert psychiatre a retenu une totale incapacité de travail dans l’activité habituelle d’employée de bureau depuis 2009 et une pleine capacité de travail dans une activité adaptée aux limitations fonctionnelles de la recourante, soit une activité sans risque de critiques majeures, évitant la présence de trop de monde et le travail dans un endroit clos, ceci depuis toujours et sans baisse de rendement. bb) La recourante a remis en cause la valeur probante du volet psychiatrique de l’expertise en question, se prévalant notamment de l’avis de la Dre I.________ du 17 mars 2025. Dans un premier argument, la recourante a estimé que la description du son parcours professionnel était contributif dans la perspective de l’évolution de l’atteinte, ce que n’avait pas approfondi l’expert psychiatre. Cela était par ailleurs confirmé par le décompte individuel AVS qui laissait apparaître « un avant et un après » la fin des rapports de travail avec BN.________. Or l’expert U.________ a effectivement pris en compte le parcours professionnel et la chronologie de l’évolution de l’atteinte puisqu’il a établi une chronologie de ces faits et qu’il s’est également référé de manière exhaustive aux rapports fournis au dossier depuis le début de la procédure. Le fait que cela soit présenté de manière chronologique dans l’expertise du 16 janvier 2025 ne porte pas le flanc à la critique. Dans un second argument, la recourante fait valoir que la Dre I.________ a apporté de nombreux détails corroborant le trouble anxieux 10J010</w:t>
      </w:r>
    </w:p>
    <w:p>
      <w:r>
        <w:t>- 29 - ayant évolué dans le temps et sa gravité, de sorte que l’apparition de ce trouble serait probablement antérieure à 2009. Au surplus, l’expert psychiatre n’aurait pas démontré la survenance du trouble mixte de la personnalité au début de l’âge adulte conformément aux critères de la CIM- 10, ce qui relativiserait son diagnostic. Or il convient de constater que la Dre I.________ n’a pas fourni, à l’appui de son rapport du 17 mars 2025, d’élément médical objectivement nouveau dont l’expert psychiatre n’aurait pas tenu compte. Ses conclusions ne sont qu’une appréciation différente d’une même situation, qui ne sauraient remettre en doute les conclusions de l’expert psychiatre, ou faire état d’une aggravation de l’état de santé qui serait survenue depuis le rapport d’expertise du 16 janvier 2025, respectivement l’examen expertal du 27 septembre 2024 L’expert a par ailleurs précisé que les traits de personnalité évitante et anankastique étaient interdépendants et engendraient des difficultés importantes au niveau relationnel et professionnel avec des fuites et que ces difficultés existaient « depuis de nombreuses années », se référant par ailleurs aux difficultés relationnelles entre l’assurée et son père. Dans un troisième argument, la recourante fait en substance valoir que l’évaluation des ressources et des limitations comporte des lacunes et incohérences et que la mauvaise compréhension du processus d’évaluation à l’aide des indicateurs enlèverait à l’expertise du Dr U.________ sa valeur probante. Toutefois, l’expert a, sur le plan des ressources, indiqué que l’intéressée avait des difficultés à travailler avec les autres de peur d’être critiquée et que les changements étaient source d’angoisse. Il a en outre procédé à l’examen des capacités, des ressources et des difficultés de l’assuré au regard des critères de la MINI CIF 10. Selon lui, les constatations cliniques concrètes avaient permis d’aboutir à des diagnostics ayant un impact sur la capacité de travail et qui engendraient des limitations fonctionnelles. Son appréciation ne porte ainsi pas le flanc à la critique, de sorte que l’argument de la recourante sur ce point doit être rejeté. 10J010</w:t>
      </w:r>
    </w:p>
    <w:p>
      <w:r>
        <w:t>- 30 - Au surplus, il n’y a pas lieu d’examiner plus en détail le bien- fondé des conclusions rendues par la Dre I.________ dans son rapport du 17 mars 2025 car le recours doit, quoi qu’il en soit, être admis pour un autre motif. cc) Compte tenu des éléments qui précèdent, rien ne justifie de s’écarter des constats du rapport d’expertise du Dr U.________, qui est bien élaboré, repose sur un examen complet du dossier médical, tient compte de l’ensemble des spécificités du cas particulier et comporte des conclusions claires, dûment motivées et exemptes de contradictions. Ce rapport satisfait ainsi aux réquisits jurisprudentiels en matière de valeur probante et de procédure probatoire structurée.</w:t>
      </w:r>
    </w:p>
    <w:p>
      <w:r>
        <w:rPr>
          <w:b/>
        </w:rPr>
        <w:t>E. 9</w:t>
      </w:r>
    </w:p>
    <w:p>
      <w:r>
        <w:t>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138 V 457 consid. 3.1 ; 110 V 273 consid. 4b ; TF 8C_661/2023 du 21 mai 2024 consid. 5 ; TF 9C_716/2014 du 19 février 2015 consid. 4.1).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 TF 8C_150/2013 du 10J010</w:t>
      </w:r>
    </w:p>
    <w:p>
      <w:r>
        <w:t>- 31 - 23 septembre 2013 consid. 3.2 ; TF 9C_984/2008 du 4 mai 2008 consid. 6.2 ;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cité ; TFA I 377/98 du 28 juillet 1999 consid. 1 et les références citées, in VSI 1999 p. 246). b) En l’occurrence, les experts ont consensuellement mis en évidence les limitations fonctionnelles suivantes : activités sédentaires ou semi-sédentaires, principalement en position assise, en autorisant les changements de position, pas d’efforts de soulèvement à partir du sol au- delà de 5 kg, port de charge proche du corps limité à 5 kg, éviter les porte- à-faux du buste et les rotations répétées du buste, pas de position à genoux et accroupie, pas de montée et de descente d’escaliers répétées, pas de travail en hauteur (échelle, escabeau, échafaudage, tabouret), pas de mouvement de préhension et de pronosupination forcée de la main gauche, activité sans critique majeure, avec un cahier des charges précis, dans un endroit qui ne doit pas être clos et sans présence de trop de monde. Sur la base de ces éléments, le service de réadaptation de l’intimé a considéré que la recourante pourrait mettre sa capacité de travail résiduelle en valeur dans un travail simple et répétitif dans le domaine industriel léger, par exemple dans le domaine du montage, du contrôle ou de la surveillance d’un processus de production, en qualité d’ouvrière à l’établi dans des activités simples et légères, ou encore en qualité d’ouvrière dans le conditionnement. 10J010</w:t>
      </w:r>
    </w:p>
    <w:p>
      <w:r>
        <w:t>- 32 - Or la Cour de céans peine à comprendre en quoi les exemples concrets d’activités mentionnés par le service de réadaptation de l’intimé seraient compatibles avec les nombreuses limitations fonctionnelles retenues par le corps médical et doute que cette problématique ait été examinée avec l’attention requise par les circonstances. A titre d’exemples, les activités de montage, contrôle ou surveillance impliquent, par essence, une concentration dont il est douteux que la recourante soit pourvue. La neuropsychologue BG.________ a en effet constaté un déficit attentionnel, incluant un ralentissement de la vitesse de traitement et des difficultés d’attention soutenue. En sus des contraintes relatives à la situation somatique de la recourante, soit des activités sédentaires ou semi- sédentaires, principalement en position assise, en autorisant les changements de position, pas d’efforts de soulèvement à partir du sol au- delà de 5 kg, port de charge proche du corps limité à 5 kg, éviter les porte- à-faux du buste et les rotations répétées du buste, pas de position à genoux et accroupie, pas de montée et de descente d’escaliers répétées, pas de travail en hauteur (échelle, escabeau, échafaudage, tabouret), pas de mouvement de préhension et de pronosupination forcée de la main gauche ; il faut de surcroît que le travail envisagé puisse être effectué dans un environnement calme et structuré, sans critiques ou situations anxiogènes. Si l’on reprend plus spécifiquement les limitations fonctionnelles posées dans le volet psychiatrique de l’expertise, on lit encore que la recourante ne doit pas travailler dans un endroit clos, en présence de trop de monde. On peine à cet égard à discerner quelle usine dans laquelle les personnes employées effectuent des activités de montage, de contrôle ou de surveillance d’un processus de production, d’ouvrière à l’établi dans des activités simples et légère ou d’ouvrière dans le conditionnement ne serait pas un endroit clos, ou ne réunirait pas trop de monde. De même, on peine à saisir quelle serait l’activité qui ne serait pas susceptible de donner lieu à des critiques. En réalité, le descriptif de l’activité qui serait adaptée à la recourante est celui d’une activité occupationnelle effectuée dans un milieu protégé, et non dans le marché libre. On ne voit dès lors pas quelle activité la recourante pourrait exercer au regard de ses limitations fonctionnelles somatiques et psychiatriques. 10J010</w:t>
      </w:r>
    </w:p>
    <w:p>
      <w:r>
        <w:t>- 33 - Compte tenu des limitations fonctionnelles retenues par le corps médical, il doit être admis que même en prenant en considération le large éventail d'activités simples et répétitives ne nécessitant pas de formation dans les secteurs de la production et des services, les possibilités d'un emploi adapté aux importantes limitations de la recourante n'apparaissent pas suffisantes pour qu'elle puisse mettre en valeur sa capacité de travail résiduelle sur le plan économique dans une mesure significative. Il convient ainsi de s'écarter de l’appréciation de l’intimé sur ce point et de retenir une incapacité de travail de 100 % dans toutes activités dès le mois de septembre 2020, date de l’aggravation de l’état de santé de la recourante correspondant au début du suivi psychiatrique documenté (cf. avis SMR du 20 janvier 2025). c) Compte tenu d'une incapacité de travail totale dans toute activité de l'économie libre depuis le mois de septembre 2020, le degré d'invalidité se confond avec cette incapacité et s'élève à 100 %, sans qu'il ne soit nécessaire de procéder à une comparaison de revenus précisément chiffrée. d) Sur le vu de ce qui précède, la recourante a droit à une rente entière d’invalidité à compter du 1er mars 2022 (art. 28 al. 1 et 29 LAI).</w:t>
      </w:r>
    </w:p>
    <w:p>
      <w:r>
        <w:rPr>
          <w:b/>
        </w:rPr>
        <w:t>E. 10</w:t>
      </w:r>
    </w:p>
    <w:p>
      <w:r>
        <w:t>a) En définitive, le recours doit être admis et la décision du 16 mai 2025 réformée, en ce sens que la recourante a droit à une rente d’invalidité entière dès le 1er mars 2022.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10J010</w:t>
      </w:r>
    </w:p>
    <w:p>
      <w:r>
        <w:t>- 34 -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