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ZD25.026565 vom 23. März 2026</w:t>
      </w:r>
    </w:p>
    <w:p>
      <w:r>
        <w:t>VD Tribunal cantonal, 2026-03-23, FR</w:t>
      </w:r>
    </w:p>
    <w:p>
      <w:r>
        <w:rPr>
          <w:b/>
        </w:rPr>
        <w:t xml:space="preserve">Quelle: </w:t>
      </w:r>
      <w:r>
        <w:t>https://mcp.opencaselaw.ch/entscheid/vd_gerichte_ZD25.026565</w:t>
      </w:r>
    </w:p>
    <w:p>
      <w:r>
        <w:t>FR: VD_GERICHTE ZD25.026565 du 23 mars 2026</w:t>
      </w:r>
    </w:p>
    <w:p>
      <w:r>
        <w:t>IT: VD_GERICHTE ZD25.026565 del 23 marzo 2026</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10J010</w:t>
      </w:r>
    </w:p>
    <w:p>
      <w:r>
        <w:t>- 12 -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En vertu de l’art. 28b LAI, la quotité de la rente est fixée en pourcentage d’une rente entière. Ainsi, pour un taux d’invalidité compris entre 50 et 69 %, la quotité de la rente correspond au taux d’invalidité. Pour un taux d’invalidité supérieur ou égal à 70 %, l’assuré a droit à une rente entière. Enfin, des quotités spécifiques de rente sont prévues lorsque le taux d’invalidité est inférieur à 50 %. L’évaluation du taux d’invalidité des assurés exerçant une activité lucrative est régie par l’art. 16 LPGA. A cette fin, le revenu que l’assuré aurait pu obtenir s’il n’était pas invalide est comparé à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 c) Pour pouvoir fixer le degré d’invalidité, l’administration – ou le juge en cas de recours – se base sur des documents que le médecin, éventuellement aussi d’autres spécialistes, doivent lui fournir. La tâche du médecin consiste à évaluer l’état de santé de la personne assurée et à indiquer dans quelle mesure et pour quelles activités elle est incapable de travailler. En outre, les données médicales constituent un élément utile pour déterminer quels travaux on peut encore raisonnablement exiger de 10J010</w:t>
      </w:r>
    </w:p>
    <w:p>
      <w:r>
        <w:t>- 13 - l’assuré (ATF 132 V 93 consid. 4, 125 V 256 consid. 4 et 115 V 133 consid. 2 ; TF 8C_160/2016 du 2 mars 2017 consid. 4.1).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e) Le tribunal peut accorder une pleine valeur probante à une expertise mise en œuvre dans le cadre d'une procédure administrative au sens de l'art. 44 LPGA, aussi longtemps qu'aucun indice concret ne permet de douter de son bien-fondé (ATF 135 V 465 consid. 4.4 ; 125 V 351 consid. 3b/bb ; TF 8C_228/2024 du 7 novembre 2024 consid. 4.2 ; TF 8C_816/2023 du 28 août 2024 consid. 3.2). Le juge des assurances ne peut ainsi,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incombe à l’assuré d’établir l’existence d’éléments 10J010</w:t>
      </w:r>
    </w:p>
    <w:p>
      <w:r>
        <w:t>- 14 -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TF 9C_631/2012 du 9 novembre 2012 consid. 3 ; TF 9C_584/2011 du 12 mars 2012 consid. 2.3 ; TF 9C_268/2011 du 26 juillet 2011 consid. 6.1.2 et les références citées). Cela vaut également lorsqu’un ou plusieurs médecins ont émis une opinion divergeant de celle de l’expert (TF 9C_268/2011 précité consid. 6.1.2 et les références citées).</w:t>
      </w:r>
    </w:p>
    <w:p>
      <w:r>
        <w:rPr>
          <w:b/>
        </w:rPr>
        <w:t>E. 4</w:t>
      </w:r>
    </w:p>
    <w:p>
      <w:r>
        <w:t>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4.1</w:t>
      </w:r>
    </w:p>
    <w:p>
      <w:r>
        <w:t>; 133 V 108 consid. 5.2). En l'espèce, l'évaluation de l'état de santé doit par conséquent s'apprécier avec comme point de comparaison la décision de l'office intimé du 5 mai 2021. 10J010</w:t>
      </w:r>
    </w:p>
    <w:p>
      <w:r>
        <w:t>- 15 -</w:t>
      </w:r>
    </w:p>
    <w:p>
      <w:r>
        <w:rPr>
          <w:b/>
        </w:rPr>
        <w:t>E. 5</w:t>
      </w:r>
    </w:p>
    <w:p>
      <w:r>
        <w:t>L'OAI est entré en matière sur la nouvelle demande de prestations déposée le 23 janvier 2022 par le recourant. Lorsque, comme en l'espèce, l'administration est entrée en matière sur la nouvelle demande, il convient de traiter l'affaire au fond et vérifier que la modification du degré d'invalidité rendue plausible par le recourant est réellement intervenue. Cela revient à examiner, par analogie avec l'art. 17 LPGA (dans sa teneur en vigueur depuis le 1er janvier 2022), si entre la dernière décision de refus de rente – qui repose sur un examen matériel du droit à la rente, avec une constatation des faits pertinents, une appréciation des preuves et une comparaison des revenus conformes au droit – et la décision litigieuse, un changement important des circonstances propres à influencer le degré d'invalidité, et donc le droit à la rente, s'est produit (ATF 147 V 167 consid.</w:t>
      </w:r>
    </w:p>
    <w:p>
      <w:r>
        <w:rPr>
          <w:b/>
        </w:rPr>
        <w:t>E. 6</w:t>
      </w:r>
    </w:p>
    <w:p>
      <w:r>
        <w:t>a) La décision rendue le 5 mai 2021 est fondée sur les conclusions de l'expertise pluridisciplinaire confiée par l'OAI au J.________ SA. Dans leur rapport du 13 janvier 2021, au terme de leur évaluation interdisciplinaire, ces experts ont posé le diagnostic, ayant une incidence sur la capacité de travail, de cardiopathie ischémique, présent depuis novembre 2019 (maladie coronarienne tritronculaire, s/p infarctus du myocarde sub-aigu de type STEMI le 9 novembre 2019 et dernier contrôle cardiologique normal avec ergométrie normale le 13 novembre 2020). Les diagnostics, sans incidence sur la capacité de travail, étaient ceux de petit corps étranger avant-bras droit (éclat métallique), sans trouble neurologique, de lombalgie basse chronique non documentée, d'obésité de classe I avec IMC [indice de masse corporelle] de 30,7 kg/m2, de dyslipidémie traitée, de syndrome de dépendance à la nicotine depuis 1987, utilisation continue, stade de contemplation, de dyspnée d'origine indéterminée, d'utilisation à risque pour la santé de zopiclone depuis le premier trimestre 2020, de stéatose hépatique documentée en avril 2018 et de status post-ulcère bulbaire et infection à Helicobacter pylori en 2003. Du point de la médecine interne, le recourant souffrait d'une cardiopathie ischémique dont les premiers symptômes s'étaient déclarés le</w:t>
      </w:r>
    </w:p>
    <w:p>
      <w:r>
        <w:rPr>
          <w:b/>
        </w:rPr>
        <w:t>E. 8</w:t>
      </w:r>
    </w:p>
    <w:p>
      <w:r>
        <w:t>a) Mal fondé, le recours doit en conséquence être rejeté, ce qui entraîne la confirmation de la décision attaquée. b) La procédure de recours en matière de contestations portant sur l’octroi ou le refus de prestations de l’assurance-invalidité est soumise à des frais de justice (art. 69 al. 1bis LAI). Il convient de les fixer à 600 fr. et de les mettre à la charge du recourant, vu le sort de ses conclusions. c) Il n’y a pas lieu d’allouer de dépens au recourant, qui n’obtient pas gain de cause (art. 61 let. g LPGA). d) Le recourant est au bénéfice de l’assistance judiciaire. Les frais judiciaires mis à sa charge ci-avant sont donc provisoirement supportés par l’Etat et Me David Métille peut prétendre à une équitable indemnité pour son mandat d’office. Après examen de la liste des opérations déposée le 10 février 2026, compte tenu de l’importance et de la complexité du litige, il convient d’arrêter l’indemnité à 1'957 fr. 95, débours et TVA compris (art. 2, 3 al. 1 et 3bis RAJ [règlement cantonal du 7 décembre 2010 sur l’assistance judiciaire en matière civile ; BLV 211.02.3]). e) Le recourant est rendu attentif au fait qu’il devra rembourser les frais et l’indemnité provisoirement pris en charge par l’Etat dès qu’il sera en mesure de le faire (art. 122 al. 1 et 123 CPC [code de procédure civile du 10J010</w:t>
      </w:r>
    </w:p>
    <w:p>
      <w:r>
        <w:t>- 25 - 19 décembre 2008 ; RS 272], applicables par renvoi de l’art. 18 al. 5 LPA- VD). Les modalités de ce remboursement sont fixées par la Direction du recouvrement de la Direction générale des affaires institutionnelles et des communes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