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ZD25.025286 vom 5. März 2026</w:t>
      </w:r>
    </w:p>
    <w:p>
      <w:r>
        <w:t>VD Tribunal cantonal, 2026-03-05, FR</w:t>
      </w:r>
    </w:p>
    <w:p>
      <w:r>
        <w:rPr>
          <w:b/>
        </w:rPr>
        <w:t xml:space="preserve">Quelle: </w:t>
      </w:r>
      <w:r>
        <w:t>https://mcp.opencaselaw.ch/entscheid/vd_gerichte_ZD25.025286</w:t>
      </w:r>
    </w:p>
    <w:p>
      <w:r>
        <w:t>FR: VD_GERICHTE ZD25.025286 du 5 mars 2026</w:t>
      </w:r>
    </w:p>
    <w:p>
      <w:r>
        <w:t>IT: VD_GERICHTE ZD25.025286 del 5 marzo 2026</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10J010</w:t>
      </w:r>
    </w:p>
    <w:p>
      <w:r>
        <w:t>- 13 -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Aux termes de l’art. 17 al. 1 LPGA (dans sa teneur en vigueur depuis le 1er janvier 2022, applicable ratione temporis au cas d’espèce dans la mesure où le litige porte sur l’existence d’un motif de révision de la rente postérieur à cette date), la rente d’invalidité est, d’office ou sur demande, révisée pour l’avenir, à savoir augmentée, réduite ou supprimée, lorsque le taux d’invalidité de l’assuré subit une modification d’au moins 5 points de pourcentage (let. a) ou atteint 100 % (let. b ; TF 8C_9912025 du 19 août 2025 consid. 4.2). Tout changement important des circonstances propre à influencer le taux d’invalidité, et donc le droit à la rente, peut motiver une révision. La rente peut ainsi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En 10J010</w:t>
      </w:r>
    </w:p>
    <w:p>
      <w:r>
        <w:t>- 14 - revanche, une simple appréciation différente d’un état de fait qui, pour l’essentiel, est demeuré inchangé n’appelle pas une révision au sens de l’art. 17 al. 1 LPGA (ATF 147 V 167 consid. 4.1 ; 144 1 103 consid. 2.1 ; 141 V 9 consid. 2.3 ; 134 V 131 consid. 3). e) Selon l’art. 28a LAI, l’évaluation du taux d’invalidité des assurés exerçant une activité lucrative est régie par l’art. 16 LPGA (al. 1, première phrase) ; lorsque l’assuré exerce une activité lucrative à temps partiel ou travaille sans être rémunéré dans l’entreprise de son conjoint, le taux d’invalidité pour cette activité est évalué selon l’art. 16 LPGA (al. 3, première phrase).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Conformément à l’art. 28b al. 2 LAI, pour un taux d’invalidité compris entre 50 % et 69 %, la quotité de la rente correspond au taux d’invalidité. Jusqu’au 31 décembre 2021, la loi prévoyait l’octroi d’une demi-rente d’invalidité si le taux d’invalidité était de 50 % au moins (art. 28 al. 2 LAI, dans sa teneur en vigueur jusqu’à cette date).</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140 V 193 consid. 3.2 ; 132 V 93 consid. 4 et les références).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10J010</w:t>
      </w:r>
    </w:p>
    <w:p>
      <w:r>
        <w:t>- 15 -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9C_584/2011 du 12 mars 2012 consid. 2.3 ; TF 9C_268/2011 du 26 juillet 2011 consid. 6.1.2 et les références). Cela vaut également lorsqu’un ou plusieurs médecins ont émis 10J010</w:t>
      </w:r>
    </w:p>
    <w:p>
      <w:r>
        <w:t>- 16 - une opinion divergeant de celle de l’expert (TF 9C_268/2011 du 26 juillet 2011 consid. 6.1.2 et les références).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8C_281/2019 du 19 mai 2020 consid. 5.1). f) Les affections psychiques, les affections psychosomatiques et les syndromes de dépendance à des substances psychotropes doivent en principe faire l’objet d’une procédure probatoire structurée (ATF 145 V 215 ; 143 V 418 consid. 6 et 7 ; 141 V 281 et les références).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10J010</w:t>
      </w:r>
    </w:p>
    <w:p>
      <w:r>
        <w:t>- 17 -</w:t>
      </w:r>
    </w:p>
    <w:p>
      <w:r>
        <w:rPr>
          <w:b/>
        </w:rPr>
        <w:t>E. 5</w:t>
      </w:r>
    </w:p>
    <w:p>
      <w:r>
        <w:t>Sur le plan médical, la décision attaquée se fonde essentiellement sur le rapport d’expertise pluridisciplinaire du 8 mars 2022 et sur l’avis du SMR, qui retient une capacité de travail dans une activité adaptée de 50 % dès le 1er décembre 2019, sans discontinuer, et qui diverge sur ce point du rapport d’expertise précité.</w:t>
      </w:r>
    </w:p>
    <w:p>
      <w:r>
        <w:rPr>
          <w:b/>
        </w:rPr>
        <w:t>E. 6</w:t>
      </w:r>
    </w:p>
    <w:p>
      <w:r>
        <w:t>a) La recourante reproche tout d’abord à l’OAI de s’être écarté de l’expertise pluridisciplinaire du 8 mars 2022, laquelle retient une capacité de travail dans une activité adaptée de 50 % dès le 26 novembre 2020 et de 40 % depuis le 1er mai 2021. En substance, elle fait valoir que cette expertise dispose d’une valeur probante entière, qu’il n’y avait pas lieu de douter de son bien-fondé et, partant, de ne pas la suivre pleinement. Elle ajoute que ses médecins traitants ont attesté une aggravation de son état de santé après la réalisation de cette expertise et qu’ils mentionnaient une capacité de travail de l’ordre de 30 %. b) Sous l’angle médical, il ressort, en substance, du dossier les éléments suivants : aa) Dans son écrit du 26 novembre 2020, la psychiatre traitante de la recourante, la Dre A.________, mentionne les diagnostics de trouble de la personnalité borderline avec traits narcissiques (CIM-10 F60.3), somatisation (CIM-10 F45.0), trouble panique (CIM-10 F41.0), dysthymie (CIM-10 F34.1), trouble dépressif récurrent, actuellement en rémission (CIM-</w:t>
      </w:r>
    </w:p>
    <w:p>
      <w:r>
        <w:rPr>
          <w:b/>
        </w:rPr>
        <w:t>E. 10</w:t>
      </w:r>
    </w:p>
    <w:p>
      <w:r>
        <w:t>F33) et de troubles du comportement alimentaire avec hyperphagie (CIM-10 F50.4), sur la base d’une argumentation qui tient sur moins de treize lignes (cf. p. 31s. de l’expertise), étant relevé que la motivation justifiant le diagnostic de troubles mixtes de la personnalité n’est même pas une phrase. En outre, l’expert liste les diagnostics psychiatriques retenus par d’autres médecins figurant au dossier (trouble panique, traits narcissiques et anxieux, anorexie réactionnelle et dysthymie notamment), 10J010</w:t>
      </w:r>
    </w:p>
    <w:p>
      <w:r>
        <w:t>- 25 - mais n’explique pas pourquoi il les exclut. Par ailleurs, l’appréciation des capacités, des ressources et des difficultés est également très brève et n’expose pas concrètement qu’elles sont les capacités et difficultés de la recourante en lien avec les troubles reconnus. Enfin, l’expert n’explique aucunement les capacités de travail retenues et leur évolution, étant rappelé qu’il a considéré que la recourante disposait d’une capacité de travail dans son activité habituelle de 100 % du 1er décembre 2016 au 20 mai 2019, puis de 0 % jusqu’au 30 novembre 2019, de 50 % depuis le 1er décembre 2019, de 20 % depuis le 1er janvier 2021 et de 30 % depuis mai 2021, ainsi que d’une capacité de travail dans une activité adaptée de 50 % depuis le 26 novembre 2020, puis de 40 % depuis le 1er mai 2021. Dans son complément d’expertise du 20 juin 2022, le Dr N.________ a répondu de manière tout aussi lapidaire aux questions posées le médecin du SMR. Il n’a apporté aucun élément supplémentaire qui étayerait ses conclusions. On ne saurait dès lors reconnaître une quelconque valeur probante à l’expertise psychiatrique. Bien que l’OAI ait finalement considéré que l’expertise avait une pleine valeur probante, il s’est tout de même écarté des conclusions de l’expert psychiatre quant à la capacité de travail dans une activité adaptée depuis le 1er mai 2021, admettant par là son caractère non conforme aux réquisits jurisprudentiels. cc) En ce qui concerne le volet rhumatologique, comme le relève le médecin du SMR dans son avis du 3 juin 2022, l’expert ne motive pas les raisons pour lesquelles la capacité de travail de la recourante dans une activité adaptée serait uniquement de 50 %. Dans son complément d’expertise du 20 juin 2022, l’expert n’apporte pas d’éléments substantiels pour étayer ses conclusions. dd) On relèvera encore que la situation de la recourante a évolué de manière significative entre le moment où les experts ont rendu leur rapport en 2022 et la décision attaquée du 11 avril 2025. En effet, la psychiatre traitante a fait état, dans son rapport du 15 juillet 2024, de la 10J010</w:t>
      </w:r>
    </w:p>
    <w:p>
      <w:r>
        <w:t>- 26 - séparation du couple de la recourante. Or, dans l’analyse des ressources de la recourante, les experts ont clairement indiqué que l’intéressée bénéficiait d’importantes ressources extérieures apportées par l’aide quotidienne de son conjoint. Il apparaît cependant que la recourante ne peut plus compter sur cette aide, ce qui est susceptible d’impacter de manière significative sa capacité à travailler et à gérer son quotidien. Ce point n’a cependant pas été instruit par l’OAI. Dans ce même rapport, la psychiatre traitante a relevé que, sur le plan douloureux, la recourante était moins symptomatique, ce qui avait un impact positif sur sa santé psychique, et que cette amélioration de son état de santé influait positivement sa capacité de travail, reconnaissant dorénavant une capacité de travail de 40 % à la recourante, alors que celle-ci n’était estimée qu’à 30 % par le passé, en particulier au moment où les experts ont rendu leur rapport. L’OAI devait investiguer ces points avant de rendre une décision, notamment en se renseignant sur le caractère durable de l’amélioration de l’état de santé de la recourante, ce qu’il n’a pas fait.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b) En l’occurrence, il s’impose d’annuler la décision entreprise et de renvoyer la cause à l’intimé, afin qu’il mette en œuvre une nouvelle expertise pluridisciplinaire. En effet, il n’avait pas échappé au SMR, notamment dans son avis du 3 juin 2022, que les volets psychiatriques et rhumatologiques de l’expertise du 8 mars 2022 étaient insuffisamment motivés. 10J010</w:t>
      </w:r>
    </w:p>
    <w:p>
      <w:r>
        <w:t>- 27 - 8. a) En définitive, le recours doit être admis, la décision entreprise annulée et la cause renvoyée à l’autorité intimée pour instruction complémentaire dans le sens des considérants et nouvelle décision. La cause étant jugée, la requête d’effet suspensif, respectivement de mesures provisionnelles, devient sans objet.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